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4BE8" w14:textId="02FA1BE3" w:rsidR="00480BE8" w:rsidRDefault="00480BE8" w:rsidP="00480BE8">
      <w:pPr>
        <w:jc w:val="center"/>
        <w:rPr>
          <w:sz w:val="36"/>
          <w:szCs w:val="32"/>
        </w:rPr>
      </w:pPr>
      <w:r>
        <w:rPr>
          <w:sz w:val="36"/>
          <w:szCs w:val="32"/>
        </w:rPr>
        <w:t>Capsule « La Recherche Clinique »</w:t>
      </w:r>
    </w:p>
    <w:p w14:paraId="110AFCAB" w14:textId="77777777" w:rsidR="00480BE8" w:rsidRDefault="00480BE8" w:rsidP="00480BE8">
      <w:pPr>
        <w:jc w:val="center"/>
        <w:rPr>
          <w:sz w:val="36"/>
          <w:szCs w:val="32"/>
        </w:rPr>
      </w:pPr>
      <w:r>
        <w:rPr>
          <w:sz w:val="36"/>
          <w:szCs w:val="32"/>
        </w:rPr>
        <w:t>Intervention du 9 décembre 2022</w:t>
      </w:r>
    </w:p>
    <w:p w14:paraId="6D8BE97C" w14:textId="43700D99" w:rsidR="00480BE8" w:rsidRDefault="00480BE8" w:rsidP="00480BE8">
      <w:pPr>
        <w:jc w:val="center"/>
        <w:rPr>
          <w:sz w:val="36"/>
          <w:szCs w:val="32"/>
        </w:rPr>
      </w:pPr>
      <w:r>
        <w:rPr>
          <w:sz w:val="36"/>
          <w:szCs w:val="32"/>
        </w:rPr>
        <w:t xml:space="preserve">Fatima Pertuit Attachée de recherche clinique </w:t>
      </w:r>
    </w:p>
    <w:p w14:paraId="73275DF3" w14:textId="77777777" w:rsidR="006E1B5C" w:rsidRDefault="00480BE8" w:rsidP="00480BE8">
      <w:r w:rsidRPr="00DB6CA9">
        <w:t>Ce document décrit la présentation power point de Fatima Pertuit Attachée de recherche clinique,</w:t>
      </w:r>
      <w:r w:rsidR="00BF3F88" w:rsidRPr="00DB6CA9">
        <w:t xml:space="preserve"> </w:t>
      </w:r>
      <w:r w:rsidR="00D444F6" w:rsidRPr="00DB6CA9">
        <w:t xml:space="preserve">chez </w:t>
      </w:r>
      <w:proofErr w:type="spellStart"/>
      <w:r w:rsidR="00D444F6" w:rsidRPr="00DB6CA9">
        <w:t>Streetlab</w:t>
      </w:r>
      <w:proofErr w:type="spellEnd"/>
      <w:r w:rsidRPr="00DB6CA9">
        <w:t xml:space="preserve">. </w:t>
      </w:r>
    </w:p>
    <w:p w14:paraId="2B89312F" w14:textId="5BB96A14" w:rsidR="00480BE8" w:rsidRPr="00DB6CA9" w:rsidRDefault="00480BE8" w:rsidP="00480BE8">
      <w:r w:rsidRPr="00DB6CA9">
        <w:t>Ce power point contient seize diapos qui seront regroupées en cinq chapitres listés dans la table des matières ci-dessous.</w:t>
      </w:r>
    </w:p>
    <w:sdt>
      <w:sdtPr>
        <w:id w:val="-41309618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37F9ED8" w14:textId="3250EE94" w:rsidR="00DB6CA9" w:rsidRDefault="00DB6CA9">
          <w:pPr>
            <w:pStyle w:val="En-ttedetabledesmatires"/>
          </w:pPr>
          <w:r>
            <w:t>Table des matières</w:t>
          </w:r>
        </w:p>
        <w:p w14:paraId="56F832F5" w14:textId="2C3E038A" w:rsidR="001D166D" w:rsidRDefault="00DB6CA9">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18307096" w:history="1">
            <w:r w:rsidR="001D166D" w:rsidRPr="004B4758">
              <w:rPr>
                <w:rStyle w:val="Lienhypertexte"/>
                <w:noProof/>
              </w:rPr>
              <w:t>1.</w:t>
            </w:r>
            <w:r w:rsidR="001D166D">
              <w:rPr>
                <w:rFonts w:eastAsiaTheme="minorEastAsia"/>
                <w:noProof/>
                <w:lang w:eastAsia="fr-FR"/>
              </w:rPr>
              <w:tab/>
            </w:r>
            <w:r w:rsidR="001D166D" w:rsidRPr="004B4758">
              <w:rPr>
                <w:rStyle w:val="Lienhypertexte"/>
                <w:noProof/>
              </w:rPr>
              <w:t>Introduction à la Recherche clinique</w:t>
            </w:r>
            <w:r w:rsidR="001D166D">
              <w:rPr>
                <w:noProof/>
                <w:webHidden/>
              </w:rPr>
              <w:tab/>
            </w:r>
            <w:r w:rsidR="001D166D">
              <w:rPr>
                <w:noProof/>
                <w:webHidden/>
              </w:rPr>
              <w:fldChar w:fldCharType="begin"/>
            </w:r>
            <w:r w:rsidR="001D166D">
              <w:rPr>
                <w:noProof/>
                <w:webHidden/>
              </w:rPr>
              <w:instrText xml:space="preserve"> PAGEREF _Toc118307096 \h </w:instrText>
            </w:r>
            <w:r w:rsidR="001D166D">
              <w:rPr>
                <w:noProof/>
                <w:webHidden/>
              </w:rPr>
            </w:r>
            <w:r w:rsidR="001D166D">
              <w:rPr>
                <w:noProof/>
                <w:webHidden/>
              </w:rPr>
              <w:fldChar w:fldCharType="separate"/>
            </w:r>
            <w:r w:rsidR="009A2739">
              <w:rPr>
                <w:noProof/>
                <w:webHidden/>
              </w:rPr>
              <w:t>1</w:t>
            </w:r>
            <w:r w:rsidR="001D166D">
              <w:rPr>
                <w:noProof/>
                <w:webHidden/>
              </w:rPr>
              <w:fldChar w:fldCharType="end"/>
            </w:r>
          </w:hyperlink>
        </w:p>
        <w:p w14:paraId="0AC7CF87" w14:textId="192FECF1" w:rsidR="001D166D" w:rsidRDefault="001D166D">
          <w:pPr>
            <w:pStyle w:val="TM2"/>
            <w:tabs>
              <w:tab w:val="left" w:pos="660"/>
              <w:tab w:val="right" w:leader="dot" w:pos="9062"/>
            </w:tabs>
            <w:rPr>
              <w:rFonts w:eastAsiaTheme="minorEastAsia"/>
              <w:noProof/>
              <w:lang w:eastAsia="fr-FR"/>
            </w:rPr>
          </w:pPr>
          <w:hyperlink w:anchor="_Toc118307097" w:history="1">
            <w:r w:rsidRPr="004B4758">
              <w:rPr>
                <w:rStyle w:val="Lienhypertexte"/>
                <w:noProof/>
              </w:rPr>
              <w:t>a)</w:t>
            </w:r>
            <w:r>
              <w:rPr>
                <w:rFonts w:eastAsiaTheme="minorEastAsia"/>
                <w:noProof/>
                <w:lang w:eastAsia="fr-FR"/>
              </w:rPr>
              <w:tab/>
            </w:r>
            <w:r w:rsidRPr="004B4758">
              <w:rPr>
                <w:rStyle w:val="Lienhypertexte"/>
                <w:noProof/>
              </w:rPr>
              <w:t>Qu’est-ce que la Recherche Clinique ?</w:t>
            </w:r>
            <w:r>
              <w:rPr>
                <w:noProof/>
                <w:webHidden/>
              </w:rPr>
              <w:tab/>
            </w:r>
            <w:r>
              <w:rPr>
                <w:noProof/>
                <w:webHidden/>
              </w:rPr>
              <w:fldChar w:fldCharType="begin"/>
            </w:r>
            <w:r>
              <w:rPr>
                <w:noProof/>
                <w:webHidden/>
              </w:rPr>
              <w:instrText xml:space="preserve"> PAGEREF _Toc118307097 \h </w:instrText>
            </w:r>
            <w:r>
              <w:rPr>
                <w:noProof/>
                <w:webHidden/>
              </w:rPr>
            </w:r>
            <w:r>
              <w:rPr>
                <w:noProof/>
                <w:webHidden/>
              </w:rPr>
              <w:fldChar w:fldCharType="separate"/>
            </w:r>
            <w:r w:rsidR="009A2739">
              <w:rPr>
                <w:noProof/>
                <w:webHidden/>
              </w:rPr>
              <w:t>1</w:t>
            </w:r>
            <w:r>
              <w:rPr>
                <w:noProof/>
                <w:webHidden/>
              </w:rPr>
              <w:fldChar w:fldCharType="end"/>
            </w:r>
          </w:hyperlink>
        </w:p>
        <w:p w14:paraId="2E711E73" w14:textId="772D7164" w:rsidR="001D166D" w:rsidRDefault="001D166D">
          <w:pPr>
            <w:pStyle w:val="TM2"/>
            <w:tabs>
              <w:tab w:val="left" w:pos="660"/>
              <w:tab w:val="right" w:leader="dot" w:pos="9062"/>
            </w:tabs>
            <w:rPr>
              <w:rFonts w:eastAsiaTheme="minorEastAsia"/>
              <w:noProof/>
              <w:lang w:eastAsia="fr-FR"/>
            </w:rPr>
          </w:pPr>
          <w:hyperlink w:anchor="_Toc118307098" w:history="1">
            <w:r w:rsidRPr="004B4758">
              <w:rPr>
                <w:rStyle w:val="Lienhypertexte"/>
                <w:noProof/>
              </w:rPr>
              <w:t>b)</w:t>
            </w:r>
            <w:r>
              <w:rPr>
                <w:rFonts w:eastAsiaTheme="minorEastAsia"/>
                <w:noProof/>
                <w:lang w:eastAsia="fr-FR"/>
              </w:rPr>
              <w:tab/>
            </w:r>
            <w:r w:rsidRPr="004B4758">
              <w:rPr>
                <w:rStyle w:val="Lienhypertexte"/>
                <w:noProof/>
              </w:rPr>
              <w:t>Quel est le rôle de la Recherche Clinique ?</w:t>
            </w:r>
            <w:r>
              <w:rPr>
                <w:noProof/>
                <w:webHidden/>
              </w:rPr>
              <w:tab/>
            </w:r>
            <w:r>
              <w:rPr>
                <w:noProof/>
                <w:webHidden/>
              </w:rPr>
              <w:fldChar w:fldCharType="begin"/>
            </w:r>
            <w:r>
              <w:rPr>
                <w:noProof/>
                <w:webHidden/>
              </w:rPr>
              <w:instrText xml:space="preserve"> PAGEREF _Toc118307098 \h </w:instrText>
            </w:r>
            <w:r>
              <w:rPr>
                <w:noProof/>
                <w:webHidden/>
              </w:rPr>
            </w:r>
            <w:r>
              <w:rPr>
                <w:noProof/>
                <w:webHidden/>
              </w:rPr>
              <w:fldChar w:fldCharType="separate"/>
            </w:r>
            <w:r w:rsidR="009A2739">
              <w:rPr>
                <w:noProof/>
                <w:webHidden/>
              </w:rPr>
              <w:t>2</w:t>
            </w:r>
            <w:r>
              <w:rPr>
                <w:noProof/>
                <w:webHidden/>
              </w:rPr>
              <w:fldChar w:fldCharType="end"/>
            </w:r>
          </w:hyperlink>
        </w:p>
        <w:p w14:paraId="44A9E24A" w14:textId="0AB18E04" w:rsidR="001D166D" w:rsidRDefault="001D166D">
          <w:pPr>
            <w:pStyle w:val="TM1"/>
            <w:tabs>
              <w:tab w:val="left" w:pos="440"/>
              <w:tab w:val="right" w:leader="dot" w:pos="9062"/>
            </w:tabs>
            <w:rPr>
              <w:rFonts w:eastAsiaTheme="minorEastAsia"/>
              <w:noProof/>
              <w:lang w:eastAsia="fr-FR"/>
            </w:rPr>
          </w:pPr>
          <w:hyperlink w:anchor="_Toc118307099" w:history="1">
            <w:r w:rsidRPr="004B4758">
              <w:rPr>
                <w:rStyle w:val="Lienhypertexte"/>
                <w:noProof/>
              </w:rPr>
              <w:t>2.</w:t>
            </w:r>
            <w:r>
              <w:rPr>
                <w:rFonts w:eastAsiaTheme="minorEastAsia"/>
                <w:noProof/>
                <w:lang w:eastAsia="fr-FR"/>
              </w:rPr>
              <w:tab/>
            </w:r>
            <w:r w:rsidRPr="004B4758">
              <w:rPr>
                <w:rStyle w:val="Lienhypertexte"/>
                <w:noProof/>
              </w:rPr>
              <w:t>Principes fondamentaux de la recherche clinique</w:t>
            </w:r>
            <w:r>
              <w:rPr>
                <w:noProof/>
                <w:webHidden/>
              </w:rPr>
              <w:tab/>
            </w:r>
            <w:r>
              <w:rPr>
                <w:noProof/>
                <w:webHidden/>
              </w:rPr>
              <w:fldChar w:fldCharType="begin"/>
            </w:r>
            <w:r>
              <w:rPr>
                <w:noProof/>
                <w:webHidden/>
              </w:rPr>
              <w:instrText xml:space="preserve"> PAGEREF _Toc118307099 \h </w:instrText>
            </w:r>
            <w:r>
              <w:rPr>
                <w:noProof/>
                <w:webHidden/>
              </w:rPr>
            </w:r>
            <w:r>
              <w:rPr>
                <w:noProof/>
                <w:webHidden/>
              </w:rPr>
              <w:fldChar w:fldCharType="separate"/>
            </w:r>
            <w:r w:rsidR="009A2739">
              <w:rPr>
                <w:noProof/>
                <w:webHidden/>
              </w:rPr>
              <w:t>2</w:t>
            </w:r>
            <w:r>
              <w:rPr>
                <w:noProof/>
                <w:webHidden/>
              </w:rPr>
              <w:fldChar w:fldCharType="end"/>
            </w:r>
          </w:hyperlink>
        </w:p>
        <w:p w14:paraId="445B19C8" w14:textId="54C53F0E" w:rsidR="001D166D" w:rsidRDefault="001D166D">
          <w:pPr>
            <w:pStyle w:val="TM1"/>
            <w:tabs>
              <w:tab w:val="left" w:pos="440"/>
              <w:tab w:val="right" w:leader="dot" w:pos="9062"/>
            </w:tabs>
            <w:rPr>
              <w:rFonts w:eastAsiaTheme="minorEastAsia"/>
              <w:noProof/>
              <w:lang w:eastAsia="fr-FR"/>
            </w:rPr>
          </w:pPr>
          <w:hyperlink w:anchor="_Toc118307100" w:history="1">
            <w:r w:rsidRPr="004B4758">
              <w:rPr>
                <w:rStyle w:val="Lienhypertexte"/>
                <w:noProof/>
              </w:rPr>
              <w:t>3.</w:t>
            </w:r>
            <w:r>
              <w:rPr>
                <w:rFonts w:eastAsiaTheme="minorEastAsia"/>
                <w:noProof/>
                <w:lang w:eastAsia="fr-FR"/>
              </w:rPr>
              <w:tab/>
            </w:r>
            <w:r w:rsidRPr="004B4758">
              <w:rPr>
                <w:rStyle w:val="Lienhypertexte"/>
                <w:noProof/>
              </w:rPr>
              <w:t>Les Acteurs de la Recherche Clinique, leurs interactions et les lieux de la Recherche Clinique</w:t>
            </w:r>
            <w:r>
              <w:rPr>
                <w:noProof/>
                <w:webHidden/>
              </w:rPr>
              <w:tab/>
            </w:r>
            <w:r>
              <w:rPr>
                <w:noProof/>
                <w:webHidden/>
              </w:rPr>
              <w:fldChar w:fldCharType="begin"/>
            </w:r>
            <w:r>
              <w:rPr>
                <w:noProof/>
                <w:webHidden/>
              </w:rPr>
              <w:instrText xml:space="preserve"> PAGEREF _Toc118307100 \h </w:instrText>
            </w:r>
            <w:r>
              <w:rPr>
                <w:noProof/>
                <w:webHidden/>
              </w:rPr>
            </w:r>
            <w:r>
              <w:rPr>
                <w:noProof/>
                <w:webHidden/>
              </w:rPr>
              <w:fldChar w:fldCharType="separate"/>
            </w:r>
            <w:r w:rsidR="009A2739">
              <w:rPr>
                <w:noProof/>
                <w:webHidden/>
              </w:rPr>
              <w:t>3</w:t>
            </w:r>
            <w:r>
              <w:rPr>
                <w:noProof/>
                <w:webHidden/>
              </w:rPr>
              <w:fldChar w:fldCharType="end"/>
            </w:r>
          </w:hyperlink>
        </w:p>
        <w:p w14:paraId="75F8F2E2" w14:textId="5938FC42" w:rsidR="001D166D" w:rsidRDefault="001D166D">
          <w:pPr>
            <w:pStyle w:val="TM2"/>
            <w:tabs>
              <w:tab w:val="left" w:pos="660"/>
              <w:tab w:val="right" w:leader="dot" w:pos="9062"/>
            </w:tabs>
            <w:rPr>
              <w:rFonts w:eastAsiaTheme="minorEastAsia"/>
              <w:noProof/>
              <w:lang w:eastAsia="fr-FR"/>
            </w:rPr>
          </w:pPr>
          <w:hyperlink w:anchor="_Toc118307101" w:history="1">
            <w:r w:rsidRPr="004B4758">
              <w:rPr>
                <w:rStyle w:val="Lienhypertexte"/>
                <w:noProof/>
              </w:rPr>
              <w:t>a)</w:t>
            </w:r>
            <w:r>
              <w:rPr>
                <w:rFonts w:eastAsiaTheme="minorEastAsia"/>
                <w:noProof/>
                <w:lang w:eastAsia="fr-FR"/>
              </w:rPr>
              <w:tab/>
            </w:r>
            <w:r w:rsidRPr="004B4758">
              <w:rPr>
                <w:rStyle w:val="Lienhypertexte"/>
                <w:noProof/>
              </w:rPr>
              <w:t>Quels sont les acteurs de la recherche clinique ? Et quelles sont leurs interactions ?</w:t>
            </w:r>
            <w:r>
              <w:rPr>
                <w:noProof/>
                <w:webHidden/>
              </w:rPr>
              <w:tab/>
            </w:r>
            <w:r>
              <w:rPr>
                <w:noProof/>
                <w:webHidden/>
              </w:rPr>
              <w:fldChar w:fldCharType="begin"/>
            </w:r>
            <w:r>
              <w:rPr>
                <w:noProof/>
                <w:webHidden/>
              </w:rPr>
              <w:instrText xml:space="preserve"> PAGEREF _Toc118307101 \h </w:instrText>
            </w:r>
            <w:r>
              <w:rPr>
                <w:noProof/>
                <w:webHidden/>
              </w:rPr>
            </w:r>
            <w:r>
              <w:rPr>
                <w:noProof/>
                <w:webHidden/>
              </w:rPr>
              <w:fldChar w:fldCharType="separate"/>
            </w:r>
            <w:r w:rsidR="009A2739">
              <w:rPr>
                <w:noProof/>
                <w:webHidden/>
              </w:rPr>
              <w:t>3</w:t>
            </w:r>
            <w:r>
              <w:rPr>
                <w:noProof/>
                <w:webHidden/>
              </w:rPr>
              <w:fldChar w:fldCharType="end"/>
            </w:r>
          </w:hyperlink>
        </w:p>
        <w:p w14:paraId="6A8AB126" w14:textId="7615CACB" w:rsidR="001D166D" w:rsidRDefault="001D166D">
          <w:pPr>
            <w:pStyle w:val="TM2"/>
            <w:tabs>
              <w:tab w:val="left" w:pos="660"/>
              <w:tab w:val="right" w:leader="dot" w:pos="9062"/>
            </w:tabs>
            <w:rPr>
              <w:rFonts w:eastAsiaTheme="minorEastAsia"/>
              <w:noProof/>
              <w:lang w:eastAsia="fr-FR"/>
            </w:rPr>
          </w:pPr>
          <w:hyperlink w:anchor="_Toc118307102" w:history="1">
            <w:r w:rsidRPr="004B4758">
              <w:rPr>
                <w:rStyle w:val="Lienhypertexte"/>
                <w:noProof/>
              </w:rPr>
              <w:t>b)</w:t>
            </w:r>
            <w:r>
              <w:rPr>
                <w:rFonts w:eastAsiaTheme="minorEastAsia"/>
                <w:noProof/>
                <w:lang w:eastAsia="fr-FR"/>
              </w:rPr>
              <w:tab/>
            </w:r>
            <w:r w:rsidRPr="004B4758">
              <w:rPr>
                <w:rStyle w:val="Lienhypertexte"/>
                <w:noProof/>
              </w:rPr>
              <w:t>Quels sont les lieux de la Recherche Clinique ?</w:t>
            </w:r>
            <w:r>
              <w:rPr>
                <w:noProof/>
                <w:webHidden/>
              </w:rPr>
              <w:tab/>
            </w:r>
            <w:r>
              <w:rPr>
                <w:noProof/>
                <w:webHidden/>
              </w:rPr>
              <w:fldChar w:fldCharType="begin"/>
            </w:r>
            <w:r>
              <w:rPr>
                <w:noProof/>
                <w:webHidden/>
              </w:rPr>
              <w:instrText xml:space="preserve"> PAGEREF _Toc118307102 \h </w:instrText>
            </w:r>
            <w:r>
              <w:rPr>
                <w:noProof/>
                <w:webHidden/>
              </w:rPr>
            </w:r>
            <w:r>
              <w:rPr>
                <w:noProof/>
                <w:webHidden/>
              </w:rPr>
              <w:fldChar w:fldCharType="separate"/>
            </w:r>
            <w:r w:rsidR="009A2739">
              <w:rPr>
                <w:noProof/>
                <w:webHidden/>
              </w:rPr>
              <w:t>6</w:t>
            </w:r>
            <w:r>
              <w:rPr>
                <w:noProof/>
                <w:webHidden/>
              </w:rPr>
              <w:fldChar w:fldCharType="end"/>
            </w:r>
          </w:hyperlink>
        </w:p>
        <w:p w14:paraId="65BAF21E" w14:textId="6E08812E" w:rsidR="001D166D" w:rsidRDefault="001D166D">
          <w:pPr>
            <w:pStyle w:val="TM1"/>
            <w:tabs>
              <w:tab w:val="left" w:pos="440"/>
              <w:tab w:val="right" w:leader="dot" w:pos="9062"/>
            </w:tabs>
            <w:rPr>
              <w:rFonts w:eastAsiaTheme="minorEastAsia"/>
              <w:noProof/>
              <w:lang w:eastAsia="fr-FR"/>
            </w:rPr>
          </w:pPr>
          <w:hyperlink w:anchor="_Toc118307103" w:history="1">
            <w:r w:rsidRPr="004B4758">
              <w:rPr>
                <w:rStyle w:val="Lienhypertexte"/>
                <w:noProof/>
              </w:rPr>
              <w:t>4.</w:t>
            </w:r>
            <w:r>
              <w:rPr>
                <w:rFonts w:eastAsiaTheme="minorEastAsia"/>
                <w:noProof/>
                <w:lang w:eastAsia="fr-FR"/>
              </w:rPr>
              <w:tab/>
            </w:r>
            <w:r w:rsidRPr="004B4758">
              <w:rPr>
                <w:rStyle w:val="Lienhypertexte"/>
                <w:noProof/>
              </w:rPr>
              <w:t>Le cadre législatif et réglementaire des Recherches portant sur la personne en France</w:t>
            </w:r>
            <w:r>
              <w:rPr>
                <w:noProof/>
                <w:webHidden/>
              </w:rPr>
              <w:tab/>
            </w:r>
            <w:r>
              <w:rPr>
                <w:noProof/>
                <w:webHidden/>
              </w:rPr>
              <w:fldChar w:fldCharType="begin"/>
            </w:r>
            <w:r>
              <w:rPr>
                <w:noProof/>
                <w:webHidden/>
              </w:rPr>
              <w:instrText xml:space="preserve"> PAGEREF _Toc118307103 \h </w:instrText>
            </w:r>
            <w:r>
              <w:rPr>
                <w:noProof/>
                <w:webHidden/>
              </w:rPr>
            </w:r>
            <w:r>
              <w:rPr>
                <w:noProof/>
                <w:webHidden/>
              </w:rPr>
              <w:fldChar w:fldCharType="separate"/>
            </w:r>
            <w:r w:rsidR="009A2739">
              <w:rPr>
                <w:noProof/>
                <w:webHidden/>
              </w:rPr>
              <w:t>6</w:t>
            </w:r>
            <w:r>
              <w:rPr>
                <w:noProof/>
                <w:webHidden/>
              </w:rPr>
              <w:fldChar w:fldCharType="end"/>
            </w:r>
          </w:hyperlink>
        </w:p>
        <w:p w14:paraId="4FE757A4" w14:textId="4BF6102D" w:rsidR="001D166D" w:rsidRDefault="001D166D">
          <w:pPr>
            <w:pStyle w:val="TM2"/>
            <w:tabs>
              <w:tab w:val="left" w:pos="660"/>
              <w:tab w:val="right" w:leader="dot" w:pos="9062"/>
            </w:tabs>
            <w:rPr>
              <w:rFonts w:eastAsiaTheme="minorEastAsia"/>
              <w:noProof/>
              <w:lang w:eastAsia="fr-FR"/>
            </w:rPr>
          </w:pPr>
          <w:hyperlink w:anchor="_Toc118307104" w:history="1">
            <w:r w:rsidRPr="004B4758">
              <w:rPr>
                <w:rStyle w:val="Lienhypertexte"/>
                <w:noProof/>
              </w:rPr>
              <w:t>a)</w:t>
            </w:r>
            <w:r>
              <w:rPr>
                <w:rFonts w:eastAsiaTheme="minorEastAsia"/>
                <w:noProof/>
                <w:lang w:eastAsia="fr-FR"/>
              </w:rPr>
              <w:tab/>
            </w:r>
            <w:r w:rsidRPr="004B4758">
              <w:rPr>
                <w:rStyle w:val="Lienhypertexte"/>
                <w:noProof/>
              </w:rPr>
              <w:t>Historique</w:t>
            </w:r>
            <w:r>
              <w:rPr>
                <w:noProof/>
                <w:webHidden/>
              </w:rPr>
              <w:tab/>
            </w:r>
            <w:r>
              <w:rPr>
                <w:noProof/>
                <w:webHidden/>
              </w:rPr>
              <w:fldChar w:fldCharType="begin"/>
            </w:r>
            <w:r>
              <w:rPr>
                <w:noProof/>
                <w:webHidden/>
              </w:rPr>
              <w:instrText xml:space="preserve"> PAGEREF _Toc118307104 \h </w:instrText>
            </w:r>
            <w:r>
              <w:rPr>
                <w:noProof/>
                <w:webHidden/>
              </w:rPr>
            </w:r>
            <w:r>
              <w:rPr>
                <w:noProof/>
                <w:webHidden/>
              </w:rPr>
              <w:fldChar w:fldCharType="separate"/>
            </w:r>
            <w:r w:rsidR="009A2739">
              <w:rPr>
                <w:noProof/>
                <w:webHidden/>
              </w:rPr>
              <w:t>6</w:t>
            </w:r>
            <w:r>
              <w:rPr>
                <w:noProof/>
                <w:webHidden/>
              </w:rPr>
              <w:fldChar w:fldCharType="end"/>
            </w:r>
          </w:hyperlink>
        </w:p>
        <w:p w14:paraId="791A1A3F" w14:textId="19545923" w:rsidR="001D166D" w:rsidRDefault="001D166D">
          <w:pPr>
            <w:pStyle w:val="TM2"/>
            <w:tabs>
              <w:tab w:val="left" w:pos="660"/>
              <w:tab w:val="right" w:leader="dot" w:pos="9062"/>
            </w:tabs>
            <w:rPr>
              <w:rFonts w:eastAsiaTheme="minorEastAsia"/>
              <w:noProof/>
              <w:lang w:eastAsia="fr-FR"/>
            </w:rPr>
          </w:pPr>
          <w:hyperlink w:anchor="_Toc118307105" w:history="1">
            <w:r w:rsidRPr="004B4758">
              <w:rPr>
                <w:rStyle w:val="Lienhypertexte"/>
                <w:noProof/>
              </w:rPr>
              <w:t>b)</w:t>
            </w:r>
            <w:r>
              <w:rPr>
                <w:rFonts w:eastAsiaTheme="minorEastAsia"/>
                <w:noProof/>
                <w:lang w:eastAsia="fr-FR"/>
              </w:rPr>
              <w:tab/>
            </w:r>
            <w:r w:rsidRPr="004B4758">
              <w:rPr>
                <w:rStyle w:val="Lienhypertexte"/>
                <w:noProof/>
              </w:rPr>
              <w:t>Quelques dates</w:t>
            </w:r>
            <w:r>
              <w:rPr>
                <w:noProof/>
                <w:webHidden/>
              </w:rPr>
              <w:tab/>
            </w:r>
            <w:r>
              <w:rPr>
                <w:noProof/>
                <w:webHidden/>
              </w:rPr>
              <w:fldChar w:fldCharType="begin"/>
            </w:r>
            <w:r>
              <w:rPr>
                <w:noProof/>
                <w:webHidden/>
              </w:rPr>
              <w:instrText xml:space="preserve"> PAGEREF _Toc118307105 \h </w:instrText>
            </w:r>
            <w:r>
              <w:rPr>
                <w:noProof/>
                <w:webHidden/>
              </w:rPr>
            </w:r>
            <w:r>
              <w:rPr>
                <w:noProof/>
                <w:webHidden/>
              </w:rPr>
              <w:fldChar w:fldCharType="separate"/>
            </w:r>
            <w:r w:rsidR="009A2739">
              <w:rPr>
                <w:noProof/>
                <w:webHidden/>
              </w:rPr>
              <w:t>7</w:t>
            </w:r>
            <w:r>
              <w:rPr>
                <w:noProof/>
                <w:webHidden/>
              </w:rPr>
              <w:fldChar w:fldCharType="end"/>
            </w:r>
          </w:hyperlink>
        </w:p>
        <w:p w14:paraId="796DE3C3" w14:textId="2AC750B9" w:rsidR="001D166D" w:rsidRDefault="001D166D">
          <w:pPr>
            <w:pStyle w:val="TM2"/>
            <w:tabs>
              <w:tab w:val="left" w:pos="660"/>
              <w:tab w:val="right" w:leader="dot" w:pos="9062"/>
            </w:tabs>
            <w:rPr>
              <w:rFonts w:eastAsiaTheme="minorEastAsia"/>
              <w:noProof/>
              <w:lang w:eastAsia="fr-FR"/>
            </w:rPr>
          </w:pPr>
          <w:hyperlink w:anchor="_Toc118307106" w:history="1">
            <w:r w:rsidRPr="004B4758">
              <w:rPr>
                <w:rStyle w:val="Lienhypertexte"/>
                <w:noProof/>
              </w:rPr>
              <w:t>c)</w:t>
            </w:r>
            <w:r>
              <w:rPr>
                <w:rFonts w:eastAsiaTheme="minorEastAsia"/>
                <w:noProof/>
                <w:lang w:eastAsia="fr-FR"/>
              </w:rPr>
              <w:tab/>
            </w:r>
            <w:r w:rsidRPr="004B4758">
              <w:rPr>
                <w:rStyle w:val="Lienhypertexte"/>
                <w:noProof/>
              </w:rPr>
              <w:t>Le cadre réglementaire Français</w:t>
            </w:r>
            <w:r>
              <w:rPr>
                <w:noProof/>
                <w:webHidden/>
              </w:rPr>
              <w:tab/>
            </w:r>
            <w:r>
              <w:rPr>
                <w:noProof/>
                <w:webHidden/>
              </w:rPr>
              <w:fldChar w:fldCharType="begin"/>
            </w:r>
            <w:r>
              <w:rPr>
                <w:noProof/>
                <w:webHidden/>
              </w:rPr>
              <w:instrText xml:space="preserve"> PAGEREF _Toc118307106 \h </w:instrText>
            </w:r>
            <w:r>
              <w:rPr>
                <w:noProof/>
                <w:webHidden/>
              </w:rPr>
            </w:r>
            <w:r>
              <w:rPr>
                <w:noProof/>
                <w:webHidden/>
              </w:rPr>
              <w:fldChar w:fldCharType="separate"/>
            </w:r>
            <w:r w:rsidR="009A2739">
              <w:rPr>
                <w:noProof/>
                <w:webHidden/>
              </w:rPr>
              <w:t>8</w:t>
            </w:r>
            <w:r>
              <w:rPr>
                <w:noProof/>
                <w:webHidden/>
              </w:rPr>
              <w:fldChar w:fldCharType="end"/>
            </w:r>
          </w:hyperlink>
        </w:p>
        <w:p w14:paraId="07C799DE" w14:textId="6A70FD6F" w:rsidR="001D166D" w:rsidRDefault="001D166D">
          <w:pPr>
            <w:pStyle w:val="TM2"/>
            <w:tabs>
              <w:tab w:val="left" w:pos="660"/>
              <w:tab w:val="right" w:leader="dot" w:pos="9062"/>
            </w:tabs>
            <w:rPr>
              <w:rFonts w:eastAsiaTheme="minorEastAsia"/>
              <w:noProof/>
              <w:lang w:eastAsia="fr-FR"/>
            </w:rPr>
          </w:pPr>
          <w:hyperlink w:anchor="_Toc118307107" w:history="1">
            <w:r w:rsidRPr="004B4758">
              <w:rPr>
                <w:rStyle w:val="Lienhypertexte"/>
                <w:noProof/>
              </w:rPr>
              <w:t>d)</w:t>
            </w:r>
            <w:r>
              <w:rPr>
                <w:rFonts w:eastAsiaTheme="minorEastAsia"/>
                <w:noProof/>
                <w:lang w:eastAsia="fr-FR"/>
              </w:rPr>
              <w:tab/>
            </w:r>
            <w:r w:rsidRPr="004B4758">
              <w:rPr>
                <w:rStyle w:val="Lienhypertexte"/>
                <w:noProof/>
              </w:rPr>
              <w:t>Les Bonnes Pratiques Cliniques (BPC)</w:t>
            </w:r>
            <w:r>
              <w:rPr>
                <w:noProof/>
                <w:webHidden/>
              </w:rPr>
              <w:tab/>
            </w:r>
            <w:r>
              <w:rPr>
                <w:noProof/>
                <w:webHidden/>
              </w:rPr>
              <w:fldChar w:fldCharType="begin"/>
            </w:r>
            <w:r>
              <w:rPr>
                <w:noProof/>
                <w:webHidden/>
              </w:rPr>
              <w:instrText xml:space="preserve"> PAGEREF _Toc118307107 \h </w:instrText>
            </w:r>
            <w:r>
              <w:rPr>
                <w:noProof/>
                <w:webHidden/>
              </w:rPr>
            </w:r>
            <w:r>
              <w:rPr>
                <w:noProof/>
                <w:webHidden/>
              </w:rPr>
              <w:fldChar w:fldCharType="separate"/>
            </w:r>
            <w:r w:rsidR="009A2739">
              <w:rPr>
                <w:noProof/>
                <w:webHidden/>
              </w:rPr>
              <w:t>8</w:t>
            </w:r>
            <w:r>
              <w:rPr>
                <w:noProof/>
                <w:webHidden/>
              </w:rPr>
              <w:fldChar w:fldCharType="end"/>
            </w:r>
          </w:hyperlink>
        </w:p>
        <w:p w14:paraId="0F668E07" w14:textId="1B456DA8" w:rsidR="001D166D" w:rsidRDefault="001D166D">
          <w:pPr>
            <w:pStyle w:val="TM2"/>
            <w:tabs>
              <w:tab w:val="left" w:pos="660"/>
              <w:tab w:val="right" w:leader="dot" w:pos="9062"/>
            </w:tabs>
            <w:rPr>
              <w:rFonts w:eastAsiaTheme="minorEastAsia"/>
              <w:noProof/>
              <w:lang w:eastAsia="fr-FR"/>
            </w:rPr>
          </w:pPr>
          <w:hyperlink w:anchor="_Toc118307108" w:history="1">
            <w:r w:rsidRPr="004B4758">
              <w:rPr>
                <w:rStyle w:val="Lienhypertexte"/>
                <w:noProof/>
              </w:rPr>
              <w:t>e)</w:t>
            </w:r>
            <w:r>
              <w:rPr>
                <w:rFonts w:eastAsiaTheme="minorEastAsia"/>
                <w:noProof/>
                <w:lang w:eastAsia="fr-FR"/>
              </w:rPr>
              <w:tab/>
            </w:r>
            <w:r w:rsidRPr="004B4758">
              <w:rPr>
                <w:rStyle w:val="Lienhypertexte"/>
                <w:noProof/>
              </w:rPr>
              <w:t>Autres lois /dispositifs dans la recherche en France</w:t>
            </w:r>
            <w:r>
              <w:rPr>
                <w:noProof/>
                <w:webHidden/>
              </w:rPr>
              <w:tab/>
            </w:r>
            <w:r>
              <w:rPr>
                <w:noProof/>
                <w:webHidden/>
              </w:rPr>
              <w:fldChar w:fldCharType="begin"/>
            </w:r>
            <w:r>
              <w:rPr>
                <w:noProof/>
                <w:webHidden/>
              </w:rPr>
              <w:instrText xml:space="preserve"> PAGEREF _Toc118307108 \h </w:instrText>
            </w:r>
            <w:r>
              <w:rPr>
                <w:noProof/>
                <w:webHidden/>
              </w:rPr>
            </w:r>
            <w:r>
              <w:rPr>
                <w:noProof/>
                <w:webHidden/>
              </w:rPr>
              <w:fldChar w:fldCharType="separate"/>
            </w:r>
            <w:r w:rsidR="009A2739">
              <w:rPr>
                <w:noProof/>
                <w:webHidden/>
              </w:rPr>
              <w:t>9</w:t>
            </w:r>
            <w:r>
              <w:rPr>
                <w:noProof/>
                <w:webHidden/>
              </w:rPr>
              <w:fldChar w:fldCharType="end"/>
            </w:r>
          </w:hyperlink>
        </w:p>
        <w:p w14:paraId="6C6354BE" w14:textId="1890BA33" w:rsidR="001D166D" w:rsidRDefault="001D166D">
          <w:pPr>
            <w:pStyle w:val="TM1"/>
            <w:tabs>
              <w:tab w:val="left" w:pos="440"/>
              <w:tab w:val="right" w:leader="dot" w:pos="9062"/>
            </w:tabs>
            <w:rPr>
              <w:rFonts w:eastAsiaTheme="minorEastAsia"/>
              <w:noProof/>
              <w:lang w:eastAsia="fr-FR"/>
            </w:rPr>
          </w:pPr>
          <w:hyperlink w:anchor="_Toc118307109" w:history="1">
            <w:r w:rsidRPr="004B4758">
              <w:rPr>
                <w:rStyle w:val="Lienhypertexte"/>
                <w:noProof/>
              </w:rPr>
              <w:t>5.</w:t>
            </w:r>
            <w:r>
              <w:rPr>
                <w:rFonts w:eastAsiaTheme="minorEastAsia"/>
                <w:noProof/>
                <w:lang w:eastAsia="fr-FR"/>
              </w:rPr>
              <w:tab/>
            </w:r>
            <w:r w:rsidRPr="004B4758">
              <w:rPr>
                <w:rStyle w:val="Lienhypertexte"/>
                <w:noProof/>
              </w:rPr>
              <w:t>Aspects éthiques de la recherche clinique</w:t>
            </w:r>
            <w:r>
              <w:rPr>
                <w:noProof/>
                <w:webHidden/>
              </w:rPr>
              <w:tab/>
            </w:r>
            <w:r>
              <w:rPr>
                <w:noProof/>
                <w:webHidden/>
              </w:rPr>
              <w:fldChar w:fldCharType="begin"/>
            </w:r>
            <w:r>
              <w:rPr>
                <w:noProof/>
                <w:webHidden/>
              </w:rPr>
              <w:instrText xml:space="preserve"> PAGEREF _Toc118307109 \h </w:instrText>
            </w:r>
            <w:r>
              <w:rPr>
                <w:noProof/>
                <w:webHidden/>
              </w:rPr>
            </w:r>
            <w:r>
              <w:rPr>
                <w:noProof/>
                <w:webHidden/>
              </w:rPr>
              <w:fldChar w:fldCharType="separate"/>
            </w:r>
            <w:r w:rsidR="009A2739">
              <w:rPr>
                <w:noProof/>
                <w:webHidden/>
              </w:rPr>
              <w:t>10</w:t>
            </w:r>
            <w:r>
              <w:rPr>
                <w:noProof/>
                <w:webHidden/>
              </w:rPr>
              <w:fldChar w:fldCharType="end"/>
            </w:r>
          </w:hyperlink>
        </w:p>
        <w:p w14:paraId="39B6F1B0" w14:textId="5F835963" w:rsidR="001D166D" w:rsidRDefault="001D166D">
          <w:pPr>
            <w:pStyle w:val="TM2"/>
            <w:tabs>
              <w:tab w:val="left" w:pos="660"/>
              <w:tab w:val="right" w:leader="dot" w:pos="9062"/>
            </w:tabs>
            <w:rPr>
              <w:rFonts w:eastAsiaTheme="minorEastAsia"/>
              <w:noProof/>
              <w:lang w:eastAsia="fr-FR"/>
            </w:rPr>
          </w:pPr>
          <w:hyperlink w:anchor="_Toc118307110" w:history="1">
            <w:r w:rsidRPr="004B4758">
              <w:rPr>
                <w:rStyle w:val="Lienhypertexte"/>
                <w:noProof/>
              </w:rPr>
              <w:t>a)</w:t>
            </w:r>
            <w:r>
              <w:rPr>
                <w:rFonts w:eastAsiaTheme="minorEastAsia"/>
                <w:noProof/>
                <w:lang w:eastAsia="fr-FR"/>
              </w:rPr>
              <w:tab/>
            </w:r>
            <w:r w:rsidRPr="004B4758">
              <w:rPr>
                <w:rStyle w:val="Lienhypertexte"/>
                <w:noProof/>
              </w:rPr>
              <w:t>La Protection des personnes se prêtant à la recherche clinique</w:t>
            </w:r>
            <w:r>
              <w:rPr>
                <w:noProof/>
                <w:webHidden/>
              </w:rPr>
              <w:tab/>
            </w:r>
            <w:r>
              <w:rPr>
                <w:noProof/>
                <w:webHidden/>
              </w:rPr>
              <w:fldChar w:fldCharType="begin"/>
            </w:r>
            <w:r>
              <w:rPr>
                <w:noProof/>
                <w:webHidden/>
              </w:rPr>
              <w:instrText xml:space="preserve"> PAGEREF _Toc118307110 \h </w:instrText>
            </w:r>
            <w:r>
              <w:rPr>
                <w:noProof/>
                <w:webHidden/>
              </w:rPr>
            </w:r>
            <w:r>
              <w:rPr>
                <w:noProof/>
                <w:webHidden/>
              </w:rPr>
              <w:fldChar w:fldCharType="separate"/>
            </w:r>
            <w:r w:rsidR="009A2739">
              <w:rPr>
                <w:noProof/>
                <w:webHidden/>
              </w:rPr>
              <w:t>10</w:t>
            </w:r>
            <w:r>
              <w:rPr>
                <w:noProof/>
                <w:webHidden/>
              </w:rPr>
              <w:fldChar w:fldCharType="end"/>
            </w:r>
          </w:hyperlink>
        </w:p>
        <w:p w14:paraId="3A62BFBC" w14:textId="70A23DA2" w:rsidR="001D166D" w:rsidRDefault="001D166D">
          <w:pPr>
            <w:pStyle w:val="TM2"/>
            <w:tabs>
              <w:tab w:val="left" w:pos="660"/>
              <w:tab w:val="right" w:leader="dot" w:pos="9062"/>
            </w:tabs>
            <w:rPr>
              <w:rFonts w:eastAsiaTheme="minorEastAsia"/>
              <w:noProof/>
              <w:lang w:eastAsia="fr-FR"/>
            </w:rPr>
          </w:pPr>
          <w:hyperlink w:anchor="_Toc118307111" w:history="1">
            <w:r w:rsidRPr="004B4758">
              <w:rPr>
                <w:rStyle w:val="Lienhypertexte"/>
                <w:noProof/>
              </w:rPr>
              <w:t>b)</w:t>
            </w:r>
            <w:r>
              <w:rPr>
                <w:rFonts w:eastAsiaTheme="minorEastAsia"/>
                <w:noProof/>
                <w:lang w:eastAsia="fr-FR"/>
              </w:rPr>
              <w:tab/>
            </w:r>
            <w:r w:rsidRPr="004B4758">
              <w:rPr>
                <w:rStyle w:val="Lienhypertexte"/>
                <w:noProof/>
              </w:rPr>
              <w:t>L’information des personnes se prêtant à la recherche et le consentement</w:t>
            </w:r>
            <w:r>
              <w:rPr>
                <w:noProof/>
                <w:webHidden/>
              </w:rPr>
              <w:tab/>
            </w:r>
            <w:r>
              <w:rPr>
                <w:noProof/>
                <w:webHidden/>
              </w:rPr>
              <w:fldChar w:fldCharType="begin"/>
            </w:r>
            <w:r>
              <w:rPr>
                <w:noProof/>
                <w:webHidden/>
              </w:rPr>
              <w:instrText xml:space="preserve"> PAGEREF _Toc118307111 \h </w:instrText>
            </w:r>
            <w:r>
              <w:rPr>
                <w:noProof/>
                <w:webHidden/>
              </w:rPr>
            </w:r>
            <w:r>
              <w:rPr>
                <w:noProof/>
                <w:webHidden/>
              </w:rPr>
              <w:fldChar w:fldCharType="separate"/>
            </w:r>
            <w:r w:rsidR="009A2739">
              <w:rPr>
                <w:noProof/>
                <w:webHidden/>
              </w:rPr>
              <w:t>11</w:t>
            </w:r>
            <w:r>
              <w:rPr>
                <w:noProof/>
                <w:webHidden/>
              </w:rPr>
              <w:fldChar w:fldCharType="end"/>
            </w:r>
          </w:hyperlink>
        </w:p>
        <w:p w14:paraId="4930AAB8" w14:textId="79625E1E" w:rsidR="00480BE8" w:rsidRDefault="00DB6CA9" w:rsidP="00480BE8">
          <w:r>
            <w:rPr>
              <w:b/>
              <w:bCs/>
            </w:rPr>
            <w:fldChar w:fldCharType="end"/>
          </w:r>
        </w:p>
      </w:sdtContent>
    </w:sdt>
    <w:p w14:paraId="250C752D" w14:textId="3D3074F3" w:rsidR="00E04057" w:rsidRPr="00E04057" w:rsidRDefault="00E04057" w:rsidP="00E04057">
      <w:pPr>
        <w:pStyle w:val="Titre1"/>
        <w:numPr>
          <w:ilvl w:val="0"/>
          <w:numId w:val="1"/>
        </w:numPr>
      </w:pPr>
      <w:bookmarkStart w:id="0" w:name="_Toc118307096"/>
      <w:r w:rsidRPr="00E04057">
        <w:t>Introduction à la Recherche clinique</w:t>
      </w:r>
      <w:bookmarkEnd w:id="0"/>
      <w:r w:rsidRPr="00E04057">
        <w:t xml:space="preserve"> </w:t>
      </w:r>
    </w:p>
    <w:p w14:paraId="69170FB8" w14:textId="3F044135" w:rsidR="00E04057" w:rsidRPr="00DB6CA9" w:rsidRDefault="00E04057" w:rsidP="00E04057">
      <w:pPr>
        <w:pStyle w:val="Titre2"/>
        <w:numPr>
          <w:ilvl w:val="0"/>
          <w:numId w:val="2"/>
        </w:numPr>
      </w:pPr>
      <w:r w:rsidRPr="00E04057">
        <w:t xml:space="preserve"> </w:t>
      </w:r>
      <w:bookmarkStart w:id="1" w:name="_Toc118307097"/>
      <w:r w:rsidRPr="00E04057">
        <w:t>Qu’est-ce que la Recherche Clinique ?</w:t>
      </w:r>
      <w:bookmarkEnd w:id="1"/>
    </w:p>
    <w:p w14:paraId="518C6137" w14:textId="6974195D" w:rsidR="00E04057" w:rsidRPr="00E04057" w:rsidRDefault="00E04057" w:rsidP="00E04057">
      <w:r w:rsidRPr="00E04057">
        <w:t>La Recherche Biomédicale ou Clinique est une Recherche organisée et pratiquée sur l’être humain malade et bien portant (</w:t>
      </w:r>
      <w:r w:rsidR="006E1B5C">
        <w:t xml:space="preserve">c’est-à-dire </w:t>
      </w:r>
      <w:r w:rsidRPr="00E04057">
        <w:t>volontaire sain) en vue du développement des connaissances biologiques ou médicales.</w:t>
      </w:r>
    </w:p>
    <w:p w14:paraId="117A56D9" w14:textId="77777777" w:rsidR="00E04057" w:rsidRPr="00E04057" w:rsidRDefault="00E04057" w:rsidP="00E04057">
      <w:r w:rsidRPr="00E04057">
        <w:t xml:space="preserve">On distingue : </w:t>
      </w:r>
    </w:p>
    <w:p w14:paraId="1D626A79" w14:textId="51133E44" w:rsidR="00E04057" w:rsidRPr="00E04057" w:rsidRDefault="00E04057" w:rsidP="00E04057">
      <w:r w:rsidRPr="00E04057">
        <w:lastRenderedPageBreak/>
        <w:t xml:space="preserve">Les Recherches Interventionnelles ou ‘’essais cliniques’’ ce sont des études médicales organisées pour tester les effets d'un nouveau </w:t>
      </w:r>
      <w:r w:rsidR="00EC732F" w:rsidRPr="00E04057">
        <w:t>médicament ;</w:t>
      </w:r>
      <w:r w:rsidRPr="00E04057">
        <w:t xml:space="preserve"> d'un médicament déjà </w:t>
      </w:r>
      <w:r w:rsidR="00EC732F" w:rsidRPr="00E04057">
        <w:t>existant ;</w:t>
      </w:r>
      <w:r w:rsidRPr="00E04057">
        <w:t xml:space="preserve"> d'un traitement </w:t>
      </w:r>
      <w:proofErr w:type="gramStart"/>
      <w:r w:rsidRPr="00E04057">
        <w:t>biologique;</w:t>
      </w:r>
      <w:proofErr w:type="gramEnd"/>
      <w:r w:rsidRPr="00E04057">
        <w:t xml:space="preserve"> d'un dispositif médical qui pourrait traiter ou empêcher une maladie déjà identifiée. Ces méthodes ou traitements vont être évalués chez l'Homme dans des conditions rigoureuses de sécurité, de qualité, et d’éthique.</w:t>
      </w:r>
    </w:p>
    <w:p w14:paraId="639B5ACD" w14:textId="2E419491" w:rsidR="00E04057" w:rsidRPr="00E04057" w:rsidRDefault="00EC732F" w:rsidP="00E04057">
      <w:r w:rsidRPr="00E04057">
        <w:t>L’intervention</w:t>
      </w:r>
      <w:r w:rsidR="00E04057" w:rsidRPr="00E04057">
        <w:t xml:space="preserve"> est définie comme tout acte de diagnostic ou de surveillance réalisé sur </w:t>
      </w:r>
      <w:r w:rsidRPr="00E04057">
        <w:t>la personne non justifiée</w:t>
      </w:r>
      <w:r w:rsidR="00E04057" w:rsidRPr="00E04057">
        <w:t xml:space="preserve"> par la prise en charge médicale habituelle de la personne. Les stratégies thérapeutiques,</w:t>
      </w:r>
      <w:r>
        <w:t xml:space="preserve"> </w:t>
      </w:r>
      <w:r w:rsidR="00E04057" w:rsidRPr="00E04057">
        <w:t>les procédures supplémentaires de diagnostic ou de surveillance sont déterminées à l'avance par un protocole de recherche.</w:t>
      </w:r>
    </w:p>
    <w:p w14:paraId="59F7692D" w14:textId="6E0B0620" w:rsidR="00E04057" w:rsidRPr="00E04057" w:rsidRDefault="00E04057" w:rsidP="00E04057">
      <w:r w:rsidRPr="00E04057">
        <w:t>Les Recherches non interventionnelles</w:t>
      </w:r>
      <w:r w:rsidR="00CB6683">
        <w:t>.</w:t>
      </w:r>
      <w:r w:rsidRPr="00E04057">
        <w:t xml:space="preserve"> Il s'agit d'études de données ne nécessitant aucune procédure supplémentaire de diagnostic ou de surveillance par rapport à la prise en charge thérapeutique dont bénéficie le patient, mais reposant sur la collecte et l'exploitation des données médicales.</w:t>
      </w:r>
    </w:p>
    <w:p w14:paraId="038AC31C" w14:textId="77777777" w:rsidR="00E04057" w:rsidRPr="00E04057" w:rsidRDefault="00E04057" w:rsidP="00E04057">
      <w:r w:rsidRPr="00E04057">
        <w:t>Les Recherches visant à évaluer les soins courants sont des recherches dans lesquelles les actes pratiqués et les produits utilisés relèvent de la pratique courante mais des modalités particulières de surveillance sont prévues par un protocole, obligatoirement soumis à l’avis consultatif du comité de protection des personnes.</w:t>
      </w:r>
    </w:p>
    <w:p w14:paraId="34148259" w14:textId="77777777" w:rsidR="00E04057" w:rsidRPr="00E04057" w:rsidRDefault="00E04057" w:rsidP="00E04057"/>
    <w:p w14:paraId="753FFB56" w14:textId="46445314" w:rsidR="00EC732F" w:rsidRDefault="00E04057" w:rsidP="00EC732F">
      <w:pPr>
        <w:pStyle w:val="Titre2"/>
        <w:numPr>
          <w:ilvl w:val="0"/>
          <w:numId w:val="2"/>
        </w:numPr>
      </w:pPr>
      <w:bookmarkStart w:id="2" w:name="_Toc118307098"/>
      <w:r w:rsidRPr="00E04057">
        <w:t>Quel est le rôle de la Recherche Clinique ?</w:t>
      </w:r>
      <w:bookmarkEnd w:id="2"/>
    </w:p>
    <w:p w14:paraId="2C94C8AC" w14:textId="7FC394CC" w:rsidR="00EC732F" w:rsidRPr="00EC732F" w:rsidRDefault="00EC732F" w:rsidP="00EC732F">
      <w:r w:rsidRPr="00EC732F">
        <w:t xml:space="preserve">Intérêt de la recherche clinique : elle </w:t>
      </w:r>
      <w:r w:rsidRPr="00DB6CA9">
        <w:t>permet</w:t>
      </w:r>
      <w:r w:rsidRPr="00EC732F">
        <w:t xml:space="preserve"> de mettre à disposition des patients de nouveaux traitements plus innovants et plus efficaces tout en faisant progresser les connaissances scientifiques sur les pathologies.</w:t>
      </w:r>
    </w:p>
    <w:p w14:paraId="62E3489F" w14:textId="77777777" w:rsidR="00EC732F" w:rsidRPr="00EC732F" w:rsidRDefault="00EC732F" w:rsidP="00EC732F">
      <w:r w:rsidRPr="00EC732F">
        <w:t>Les progrès de la médecine sont liés à l'introduction de nouveaux traitements : il peut s'agir de nouveaux médicaments, de techniques innovantes (nouveau type d'intervention chirurgicale, nouvel examen biologique, etc.) ou encore d'une nouvelle stratégie thérapeutique (combinaison de médicaments déjà connus etc.) ou une nouvelle façon d'administrer le traitement qui sera plus confortable et/ou mieux toléré…</w:t>
      </w:r>
    </w:p>
    <w:p w14:paraId="46C64388" w14:textId="0DB3D113" w:rsidR="00EC732F" w:rsidRPr="00EC732F" w:rsidRDefault="00EC732F" w:rsidP="00EC732F">
      <w:pPr>
        <w:pStyle w:val="Titre1"/>
        <w:numPr>
          <w:ilvl w:val="0"/>
          <w:numId w:val="1"/>
        </w:numPr>
      </w:pPr>
      <w:bookmarkStart w:id="3" w:name="_Toc118307099"/>
      <w:r w:rsidRPr="00EC732F">
        <w:t>Principes fondamentaux de la recherche clinique</w:t>
      </w:r>
      <w:bookmarkEnd w:id="3"/>
    </w:p>
    <w:p w14:paraId="14B4449B" w14:textId="4296EB5A" w:rsidR="00EC732F" w:rsidRPr="00EC732F" w:rsidRDefault="00EC732F" w:rsidP="00EC732F">
      <w:r w:rsidRPr="00EC732F">
        <w:rPr>
          <w:b/>
          <w:bCs/>
        </w:rPr>
        <w:t>Principe N°1</w:t>
      </w:r>
      <w:r>
        <w:rPr>
          <w:b/>
          <w:bCs/>
        </w:rPr>
        <w:t xml:space="preserve"> </w:t>
      </w:r>
      <w:r w:rsidRPr="00EC732F">
        <w:t xml:space="preserve">: La recherche doit se fonder sur le dernier état des connaissances scientifiques et sur une expérimentation pré-clinique </w:t>
      </w:r>
      <w:r w:rsidR="00CB6683" w:rsidRPr="00EC732F">
        <w:t>suffisante ;</w:t>
      </w:r>
    </w:p>
    <w:p w14:paraId="62B8BE08" w14:textId="509F687E" w:rsidR="00EC732F" w:rsidRPr="00EC732F" w:rsidRDefault="00EC732F" w:rsidP="00EC732F">
      <w:r w:rsidRPr="00EC732F">
        <w:rPr>
          <w:b/>
          <w:bCs/>
        </w:rPr>
        <w:t>Principe N°2</w:t>
      </w:r>
      <w:r>
        <w:rPr>
          <w:b/>
          <w:bCs/>
        </w:rPr>
        <w:t xml:space="preserve"> </w:t>
      </w:r>
      <w:r w:rsidRPr="00EC732F">
        <w:t>: Le risque prévisible encouru par les personnes qui se prêtent à la recherche ne doit pas être hors de proportion avec le bénéfice escompté pour ces personnes ou l'intérêt de cette recherche;</w:t>
      </w:r>
    </w:p>
    <w:p w14:paraId="645F1CEF" w14:textId="25B6556E" w:rsidR="00EC732F" w:rsidRPr="00EC732F" w:rsidRDefault="00EC732F" w:rsidP="00EC732F">
      <w:r w:rsidRPr="00EC732F">
        <w:rPr>
          <w:b/>
          <w:bCs/>
        </w:rPr>
        <w:t>Principe N°3</w:t>
      </w:r>
      <w:r w:rsidRPr="00EC732F">
        <w:t xml:space="preserve"> : La recherche doit viser à étendre les connaissances scientifiques de l'être humain et les moyens susceptibles d'améliorer sa </w:t>
      </w:r>
      <w:r w:rsidRPr="00EC732F">
        <w:t>condition ;</w:t>
      </w:r>
    </w:p>
    <w:p w14:paraId="2FE5E979" w14:textId="4C70B62F" w:rsidR="00EC732F" w:rsidRPr="00EC732F" w:rsidRDefault="00EC732F" w:rsidP="00EC732F">
      <w:r w:rsidRPr="00EC732F">
        <w:rPr>
          <w:b/>
          <w:bCs/>
        </w:rPr>
        <w:t>Principe N°4</w:t>
      </w:r>
      <w:r w:rsidRPr="00EC732F">
        <w:t xml:space="preserve"> : La recherche biomédicale doit avoir été conçue de telle façon que soient réduits au minimum la douleur, les désagréments, la peur et tout autre inconvénient prévisible lié à la maladie ou à la </w:t>
      </w:r>
      <w:r w:rsidRPr="00EC732F">
        <w:t>recherche ;</w:t>
      </w:r>
    </w:p>
    <w:p w14:paraId="223A88F9" w14:textId="4F06FA59" w:rsidR="00EC732F" w:rsidRPr="00EC732F" w:rsidRDefault="00EC732F" w:rsidP="00EC732F">
      <w:r w:rsidRPr="00EC732F">
        <w:rPr>
          <w:b/>
          <w:bCs/>
        </w:rPr>
        <w:lastRenderedPageBreak/>
        <w:t>Principe N°5</w:t>
      </w:r>
      <w:r w:rsidRPr="00EC732F">
        <w:t xml:space="preserve"> : La recherche ne peut être réalisée que si le promoteur a reçu l'avis favorable d'un Comité de Protection des Personnes (CPP) et l'autorisation des autorités compétentes </w:t>
      </w:r>
      <w:r w:rsidRPr="00EC732F">
        <w:t>réglementaires ;</w:t>
      </w:r>
    </w:p>
    <w:p w14:paraId="754F624F" w14:textId="7188F8E6" w:rsidR="00EC732F" w:rsidRDefault="00EC732F" w:rsidP="00EC732F">
      <w:r w:rsidRPr="00EC732F">
        <w:rPr>
          <w:b/>
          <w:bCs/>
        </w:rPr>
        <w:t>Principe N°6</w:t>
      </w:r>
      <w:r w:rsidRPr="00EC732F">
        <w:t xml:space="preserve"> : La personne qui se prête à la recherche a donné son consentement, après avoir reçu une information sur cette étude.</w:t>
      </w:r>
    </w:p>
    <w:p w14:paraId="2EC1753C" w14:textId="77777777" w:rsidR="006C3C70" w:rsidRPr="00E04057" w:rsidRDefault="006C3C70" w:rsidP="00EC732F"/>
    <w:p w14:paraId="799A7A14" w14:textId="5E915E74" w:rsidR="006C3C70" w:rsidRPr="006C3C70" w:rsidRDefault="00E04057" w:rsidP="006C3C70">
      <w:pPr>
        <w:pStyle w:val="Titre1"/>
        <w:numPr>
          <w:ilvl w:val="0"/>
          <w:numId w:val="1"/>
        </w:numPr>
      </w:pPr>
      <w:bookmarkStart w:id="4" w:name="_Toc118307100"/>
      <w:r w:rsidRPr="00E04057">
        <w:t>Les Acteurs de la Recherche Clinique, leurs interactions et les lieux de la Recherche Clinique</w:t>
      </w:r>
      <w:bookmarkEnd w:id="4"/>
    </w:p>
    <w:p w14:paraId="4F38798E" w14:textId="77777777" w:rsidR="006C3C70" w:rsidRPr="006C3C70" w:rsidRDefault="006C3C70" w:rsidP="006C3C70">
      <w:r w:rsidRPr="006C3C70">
        <w:t>Le processus de recherche clinique fait intervenir un grand nombre de professionnels assurant la promotion, l'investigation, le support méthodologique et la valorisation des essais cliniques.</w:t>
      </w:r>
    </w:p>
    <w:p w14:paraId="58A9226E" w14:textId="1FB1DB4F" w:rsidR="006C3C70" w:rsidRPr="006C3C70" w:rsidRDefault="006C3C70" w:rsidP="006C3C70">
      <w:r w:rsidRPr="006C3C70">
        <w:t>Il faut ajouter à ces professionnels, les autorités de contrôle et de protection des personnes, ainsi que les patients, volontaires sains et associations de patients jouant un rôle croissant dans le processus.</w:t>
      </w:r>
    </w:p>
    <w:p w14:paraId="32990DCC" w14:textId="4BB15E25" w:rsidR="006C3C70" w:rsidRPr="00DB6CA9" w:rsidRDefault="006C3C70" w:rsidP="006C3C70">
      <w:pPr>
        <w:pStyle w:val="Titre2"/>
        <w:numPr>
          <w:ilvl w:val="0"/>
          <w:numId w:val="4"/>
        </w:numPr>
      </w:pPr>
      <w:bookmarkStart w:id="5" w:name="_Toc118307101"/>
      <w:r w:rsidRPr="006C3C70">
        <w:t>Quels sont les acteurs de la recherche clinique ? Et quelles sont leurs interactions ?</w:t>
      </w:r>
      <w:bookmarkEnd w:id="5"/>
    </w:p>
    <w:p w14:paraId="6CC9E870" w14:textId="0537392C" w:rsidR="006C3C70" w:rsidRPr="006C3C70" w:rsidRDefault="006C3C70" w:rsidP="006C3C70">
      <w:r w:rsidRPr="006C3C70">
        <w:t>Le participant à la recherche : Individu participant « physiquement » à un essai clinique ou dont on recueille les données (volontaire sain/malade).</w:t>
      </w:r>
    </w:p>
    <w:p w14:paraId="18E701E8" w14:textId="0FD83200" w:rsidR="006C3C70" w:rsidRPr="006C3C70" w:rsidRDefault="006C3C70" w:rsidP="006C3C70">
      <w:r w:rsidRPr="006C3C70">
        <w:t xml:space="preserve">Conditions de participation à un essai </w:t>
      </w:r>
      <w:r w:rsidRPr="006C3C70">
        <w:t>clinique :</w:t>
      </w:r>
      <w:r w:rsidRPr="006C3C70">
        <w:t xml:space="preserve"> </w:t>
      </w:r>
    </w:p>
    <w:p w14:paraId="7140E670" w14:textId="7FB0F0B7" w:rsidR="006C3C70" w:rsidRPr="006C3C70" w:rsidRDefault="006C3C70" w:rsidP="006C3C70">
      <w:pPr>
        <w:numPr>
          <w:ilvl w:val="0"/>
          <w:numId w:val="3"/>
        </w:numPr>
      </w:pPr>
      <w:r w:rsidRPr="006C3C70">
        <w:t xml:space="preserve">Information et consentement obligatoires : Aucune recherche biomédicale ne peut être pratiquée sur une personne sans son consentement libre et éclairé, recueilli après que lui a été délivrée </w:t>
      </w:r>
      <w:r w:rsidR="0028581C" w:rsidRPr="006C3C70">
        <w:t>l’information ;</w:t>
      </w:r>
      <w:r w:rsidRPr="006C3C70">
        <w:t xml:space="preserve"> </w:t>
      </w:r>
    </w:p>
    <w:p w14:paraId="61D549A0" w14:textId="19E61BCF" w:rsidR="006C3C70" w:rsidRPr="006C3C70" w:rsidRDefault="006C3C70" w:rsidP="006C3C70">
      <w:pPr>
        <w:numPr>
          <w:ilvl w:val="0"/>
          <w:numId w:val="3"/>
        </w:numPr>
      </w:pPr>
      <w:r w:rsidRPr="006C3C70">
        <w:t xml:space="preserve">En général, on ne peut pas participer à plusieurs recherches en même temps, période d’exclusion obligatoire entre deux </w:t>
      </w:r>
      <w:r w:rsidR="0028581C" w:rsidRPr="006C3C70">
        <w:t>recherches ;</w:t>
      </w:r>
      <w:r w:rsidRPr="006C3C70">
        <w:t xml:space="preserve"> </w:t>
      </w:r>
    </w:p>
    <w:p w14:paraId="4E76718A" w14:textId="77777777" w:rsidR="006C3C70" w:rsidRPr="006C3C70" w:rsidRDefault="006C3C70" w:rsidP="006C3C70">
      <w:pPr>
        <w:numPr>
          <w:ilvl w:val="0"/>
          <w:numId w:val="3"/>
        </w:numPr>
      </w:pPr>
      <w:r w:rsidRPr="006C3C70">
        <w:t>Bénéficient tous d’un examen médical préalable adapté à la recherche. Résultats de l'examen communiqués par un médecin.</w:t>
      </w:r>
    </w:p>
    <w:p w14:paraId="3557ACD3" w14:textId="1B7A7123" w:rsidR="006C3C70" w:rsidRPr="0028581C" w:rsidRDefault="006C3C70" w:rsidP="00E04057">
      <w:r w:rsidRPr="006C3C70">
        <w:t>Devoirs du participant à la recherche : Le participant, s’il accepte de participer à la recherche, doit réaliser l’ensemble des visites et des prélèvements prévus par le protocole. Il doit, dans le cadre d’une recherche sur médicament, être très rigoureux dans la prise de son traitement, pendant toute la période du traitement.</w:t>
      </w:r>
    </w:p>
    <w:p w14:paraId="6549F453" w14:textId="77777777" w:rsidR="0028581C" w:rsidRPr="0028581C" w:rsidRDefault="0028581C" w:rsidP="00DB6CA9">
      <w:pPr>
        <w:pStyle w:val="Paragraphedeliste"/>
        <w:numPr>
          <w:ilvl w:val="0"/>
          <w:numId w:val="25"/>
        </w:numPr>
      </w:pPr>
      <w:r w:rsidRPr="00DB6CA9">
        <w:rPr>
          <w:u w:val="single"/>
        </w:rPr>
        <w:t>Le Promoteur ou le Sponsor</w:t>
      </w:r>
      <w:r w:rsidRPr="0028581C">
        <w:t xml:space="preserve"> : Une personne physique ou morale (entreprise privée ou publique) qui assure la mise en œuvre de la recherche, la gestion de l’étude clinique, le financement de la recherche et l’assurance Qualité de cette recherche.</w:t>
      </w:r>
    </w:p>
    <w:p w14:paraId="612EF33C" w14:textId="77777777" w:rsidR="0028581C" w:rsidRPr="0028581C" w:rsidRDefault="0028581C" w:rsidP="0028581C">
      <w:r w:rsidRPr="0028581C">
        <w:t>On distingue :</w:t>
      </w:r>
    </w:p>
    <w:p w14:paraId="613631E4" w14:textId="77777777" w:rsidR="0028581C" w:rsidRPr="0028581C" w:rsidRDefault="0028581C" w:rsidP="0028581C">
      <w:pPr>
        <w:numPr>
          <w:ilvl w:val="0"/>
          <w:numId w:val="5"/>
        </w:numPr>
      </w:pPr>
      <w:r w:rsidRPr="0028581C">
        <w:t xml:space="preserve">Le promoteur Industriel : Laboratoires pharmaceutiques, parfois représentés par des (CRO) </w:t>
      </w:r>
      <w:proofErr w:type="spellStart"/>
      <w:r w:rsidRPr="0028581C">
        <w:t>Contract</w:t>
      </w:r>
      <w:proofErr w:type="spellEnd"/>
      <w:r w:rsidRPr="0028581C">
        <w:t xml:space="preserve"> </w:t>
      </w:r>
      <w:proofErr w:type="spellStart"/>
      <w:r w:rsidRPr="0028581C">
        <w:t>Research</w:t>
      </w:r>
      <w:proofErr w:type="spellEnd"/>
      <w:r w:rsidRPr="0028581C">
        <w:t xml:space="preserve"> Organisation ‘’une société de recherche contractuelle’’.</w:t>
      </w:r>
    </w:p>
    <w:p w14:paraId="7724E3A6" w14:textId="77777777" w:rsidR="0028581C" w:rsidRPr="0028581C" w:rsidRDefault="0028581C" w:rsidP="0028581C">
      <w:pPr>
        <w:numPr>
          <w:ilvl w:val="0"/>
          <w:numId w:val="5"/>
        </w:numPr>
      </w:pPr>
      <w:r w:rsidRPr="0028581C">
        <w:lastRenderedPageBreak/>
        <w:t>Le promoteur Institutionnel : Organismes de recherches étatiques, ou hôpitaux publics (centres universitaires hospitaliers etc..).</w:t>
      </w:r>
    </w:p>
    <w:p w14:paraId="5D3E3FC1" w14:textId="77777777" w:rsidR="0028581C" w:rsidRPr="0028581C" w:rsidRDefault="0028581C" w:rsidP="0028581C">
      <w:r w:rsidRPr="0028581C">
        <w:t>Le promoteur peut déléguer par contrat une partie de ses responsabilités à une CRO mais la responsabilité juridique et scientifique (qualité et intégrité des données) revient toujours au promoteur. Le Promoteur est responsable du lancement, de la gestion et/ou du financement d'un essai clinique.</w:t>
      </w:r>
    </w:p>
    <w:p w14:paraId="3820B10C" w14:textId="77777777" w:rsidR="0028581C" w:rsidRPr="0028581C" w:rsidRDefault="0028581C" w:rsidP="00DB6CA9">
      <w:pPr>
        <w:pStyle w:val="Paragraphedeliste"/>
        <w:numPr>
          <w:ilvl w:val="0"/>
          <w:numId w:val="25"/>
        </w:numPr>
      </w:pPr>
      <w:r w:rsidRPr="00DB6CA9">
        <w:rPr>
          <w:u w:val="single"/>
        </w:rPr>
        <w:t>L’investigateur</w:t>
      </w:r>
      <w:r w:rsidRPr="0028581C">
        <w:t xml:space="preserve"> : Personne physique qui dirige et surveille la réalisation de la recherche sur un lieu de recherche (centre investigateur ou site investigateur).</w:t>
      </w:r>
    </w:p>
    <w:p w14:paraId="5934DC58" w14:textId="77777777" w:rsidR="0028581C" w:rsidRPr="0028581C" w:rsidRDefault="0028581C" w:rsidP="0028581C">
      <w:r w:rsidRPr="0028581C">
        <w:t>Cette personne est obligatoirement un médecin inscrit à l’ordre. L’investigateur est responsable de la réalisation de l’étude sur site et du suivi médical des patients sur le site d’investigation.</w:t>
      </w:r>
    </w:p>
    <w:p w14:paraId="5BF604A4" w14:textId="77777777" w:rsidR="0028581C" w:rsidRPr="0028581C" w:rsidRDefault="0028581C" w:rsidP="0028581C">
      <w:r w:rsidRPr="0028581C">
        <w:t xml:space="preserve">Les principales responsabilités de l’investigateur : </w:t>
      </w:r>
    </w:p>
    <w:p w14:paraId="081CFE45" w14:textId="2557E545" w:rsidR="0028581C" w:rsidRPr="0028581C" w:rsidRDefault="0028581C" w:rsidP="0028581C">
      <w:pPr>
        <w:numPr>
          <w:ilvl w:val="0"/>
          <w:numId w:val="6"/>
        </w:numPr>
      </w:pPr>
      <w:r w:rsidRPr="0028581C">
        <w:t xml:space="preserve">Vérifie que les personnes se prêtant à la recherche bénéficient tous d’un examen médical préalable adapté à la </w:t>
      </w:r>
      <w:r w:rsidR="000D24E5" w:rsidRPr="0028581C">
        <w:t>recherche ;</w:t>
      </w:r>
      <w:r w:rsidRPr="0028581C">
        <w:t xml:space="preserve"> </w:t>
      </w:r>
    </w:p>
    <w:p w14:paraId="5B5345C0" w14:textId="77777777" w:rsidR="0028581C" w:rsidRPr="0028581C" w:rsidRDefault="0028581C" w:rsidP="0028581C">
      <w:pPr>
        <w:numPr>
          <w:ilvl w:val="0"/>
          <w:numId w:val="6"/>
        </w:numPr>
      </w:pPr>
      <w:r w:rsidRPr="0028581C">
        <w:t>Vérifie que les personnes se prêtant à la recherche sont assurés sociaux (ou ayant droit</w:t>
      </w:r>
      <w:proofErr w:type="gramStart"/>
      <w:r w:rsidRPr="0028581C">
        <w:t>);</w:t>
      </w:r>
      <w:proofErr w:type="gramEnd"/>
    </w:p>
    <w:p w14:paraId="24A7C8CB" w14:textId="2AC30C78" w:rsidR="0028581C" w:rsidRPr="0028581C" w:rsidRDefault="0028581C" w:rsidP="0028581C">
      <w:pPr>
        <w:numPr>
          <w:ilvl w:val="0"/>
          <w:numId w:val="6"/>
        </w:numPr>
      </w:pPr>
      <w:r w:rsidRPr="0028581C">
        <w:t xml:space="preserve">La balance bénéfice / risque pour le patient doit être jugée acceptable par l’investigateur tout au long de </w:t>
      </w:r>
      <w:r w:rsidR="000D24E5" w:rsidRPr="0028581C">
        <w:t>l’étude ;</w:t>
      </w:r>
    </w:p>
    <w:p w14:paraId="53CED8C1" w14:textId="74C1570C" w:rsidR="0028581C" w:rsidRPr="0028581C" w:rsidRDefault="0028581C" w:rsidP="0028581C">
      <w:pPr>
        <w:numPr>
          <w:ilvl w:val="0"/>
          <w:numId w:val="6"/>
        </w:numPr>
      </w:pPr>
      <w:r w:rsidRPr="0028581C">
        <w:t xml:space="preserve">Les données transmises au Promoteur ne doivent en aucun cas faire apparaître en clair les noms des personnes concernées, ni leur adresse, ni d’autre information permettant une identification </w:t>
      </w:r>
      <w:r w:rsidR="000D24E5" w:rsidRPr="0028581C">
        <w:t>directe ;</w:t>
      </w:r>
      <w:r w:rsidRPr="0028581C">
        <w:t xml:space="preserve"> </w:t>
      </w:r>
    </w:p>
    <w:p w14:paraId="415E491E" w14:textId="3444B987" w:rsidR="0028581C" w:rsidRPr="0028581C" w:rsidRDefault="0028581C" w:rsidP="0028581C">
      <w:pPr>
        <w:numPr>
          <w:ilvl w:val="0"/>
          <w:numId w:val="6"/>
        </w:numPr>
      </w:pPr>
      <w:r w:rsidRPr="0028581C">
        <w:t xml:space="preserve">Les données médicales sont confidentielles, les professionnels impliqués dans une étude sont liés par le secret </w:t>
      </w:r>
      <w:r w:rsidR="008F7CF0" w:rsidRPr="0028581C">
        <w:t>professionnel ;</w:t>
      </w:r>
    </w:p>
    <w:p w14:paraId="5927D80B" w14:textId="0B6782CA" w:rsidR="0028581C" w:rsidRPr="0028581C" w:rsidRDefault="0028581C" w:rsidP="0028581C">
      <w:pPr>
        <w:numPr>
          <w:ilvl w:val="0"/>
          <w:numId w:val="6"/>
        </w:numPr>
      </w:pPr>
      <w:r w:rsidRPr="0028581C">
        <w:t xml:space="preserve">Respect du </w:t>
      </w:r>
      <w:r w:rsidR="000D24E5" w:rsidRPr="0028581C">
        <w:t>protocole ;</w:t>
      </w:r>
    </w:p>
    <w:p w14:paraId="6897F729" w14:textId="673528D9" w:rsidR="0028581C" w:rsidRPr="0028581C" w:rsidRDefault="0028581C" w:rsidP="0028581C">
      <w:pPr>
        <w:numPr>
          <w:ilvl w:val="0"/>
          <w:numId w:val="6"/>
        </w:numPr>
      </w:pPr>
      <w:r w:rsidRPr="0028581C">
        <w:t xml:space="preserve">Il est responsable du recueil du consentement éclairé du patient participant à l’étude et du classement et archivage des documents de l’étude sur le site </w:t>
      </w:r>
      <w:r w:rsidR="00DB6CA9" w:rsidRPr="0028581C">
        <w:t>d’investigation ;</w:t>
      </w:r>
    </w:p>
    <w:p w14:paraId="28F1BF94" w14:textId="77777777" w:rsidR="0028581C" w:rsidRPr="0028581C" w:rsidRDefault="0028581C" w:rsidP="0028581C">
      <w:pPr>
        <w:numPr>
          <w:ilvl w:val="0"/>
          <w:numId w:val="6"/>
        </w:numPr>
      </w:pPr>
      <w:r w:rsidRPr="0028581C">
        <w:t>Avant de démarrer une recherche, l’Investigateur s'assure de l’obtention de l'autorisation de mise en place de l'étude et de l'avis favorable du CPP et de l'autorisation du lieu de recherches.</w:t>
      </w:r>
    </w:p>
    <w:p w14:paraId="023D0AB8" w14:textId="7AD0E82B" w:rsidR="006C3C70" w:rsidRPr="008F7CF0" w:rsidRDefault="006C3C70" w:rsidP="00E04057"/>
    <w:p w14:paraId="7CD5C235" w14:textId="77777777" w:rsidR="008F7CF0" w:rsidRPr="008F7CF0" w:rsidRDefault="008F7CF0" w:rsidP="00DB6CA9">
      <w:pPr>
        <w:pStyle w:val="Paragraphedeliste"/>
        <w:numPr>
          <w:ilvl w:val="0"/>
          <w:numId w:val="25"/>
        </w:numPr>
      </w:pPr>
      <w:r w:rsidRPr="00DB6CA9">
        <w:rPr>
          <w:u w:val="single"/>
        </w:rPr>
        <w:t>Comité de Protection des Personnes (CPP)</w:t>
      </w:r>
      <w:r w:rsidRPr="008F7CF0">
        <w:t xml:space="preserve"> : Les CPP ont pour mission de vérifier que la protection des personnes est bien assurée en évaluant le protocole avant sa réalisation.</w:t>
      </w:r>
    </w:p>
    <w:p w14:paraId="2F88635E" w14:textId="0CF3EA96" w:rsidR="008F7CF0" w:rsidRPr="008F7CF0" w:rsidRDefault="008F7CF0" w:rsidP="008F7CF0">
      <w:r w:rsidRPr="008F7CF0">
        <w:t xml:space="preserve">Les CPP vérifient principalement les éléments </w:t>
      </w:r>
      <w:r w:rsidR="00DB6CA9" w:rsidRPr="008F7CF0">
        <w:t>suivants :</w:t>
      </w:r>
    </w:p>
    <w:p w14:paraId="1E58C738" w14:textId="77777777" w:rsidR="008F7CF0" w:rsidRPr="008F7CF0" w:rsidRDefault="008F7CF0" w:rsidP="008F7CF0">
      <w:pPr>
        <w:numPr>
          <w:ilvl w:val="0"/>
          <w:numId w:val="7"/>
        </w:numPr>
      </w:pPr>
      <w:r w:rsidRPr="008F7CF0">
        <w:t>La pertinence de la recherche (fondements scientifiques de la recherche</w:t>
      </w:r>
      <w:proofErr w:type="gramStart"/>
      <w:r w:rsidRPr="008F7CF0">
        <w:t>);</w:t>
      </w:r>
      <w:proofErr w:type="gramEnd"/>
    </w:p>
    <w:p w14:paraId="4EDF806A" w14:textId="003C7047" w:rsidR="008F7CF0" w:rsidRPr="008F7CF0" w:rsidRDefault="008F7CF0" w:rsidP="008F7CF0">
      <w:pPr>
        <w:numPr>
          <w:ilvl w:val="0"/>
          <w:numId w:val="7"/>
        </w:numPr>
      </w:pPr>
      <w:r w:rsidRPr="008F7CF0">
        <w:t xml:space="preserve">Que les droits et l’information des patients sont respectés (notice d’information claire, compréhensible) et que la confidentialité des données est </w:t>
      </w:r>
      <w:r w:rsidR="00DB6CA9" w:rsidRPr="008F7CF0">
        <w:t>respectée ;</w:t>
      </w:r>
    </w:p>
    <w:p w14:paraId="6F4E50E0" w14:textId="072D907C" w:rsidR="008F7CF0" w:rsidRPr="008F7CF0" w:rsidRDefault="008F7CF0" w:rsidP="008F7CF0">
      <w:pPr>
        <w:numPr>
          <w:ilvl w:val="0"/>
          <w:numId w:val="7"/>
        </w:numPr>
      </w:pPr>
      <w:r w:rsidRPr="008F7CF0">
        <w:t xml:space="preserve">Evaluent le rapport bénéfices / risques de la </w:t>
      </w:r>
      <w:r w:rsidRPr="008F7CF0">
        <w:t>recherche ;</w:t>
      </w:r>
    </w:p>
    <w:p w14:paraId="2A819092" w14:textId="5FEFE4D6" w:rsidR="008F7CF0" w:rsidRPr="008F7CF0" w:rsidRDefault="008F7CF0" w:rsidP="008F7CF0">
      <w:pPr>
        <w:numPr>
          <w:ilvl w:val="0"/>
          <w:numId w:val="7"/>
        </w:numPr>
      </w:pPr>
      <w:r w:rsidRPr="008F7CF0">
        <w:t xml:space="preserve">La qualification des médecins </w:t>
      </w:r>
      <w:r w:rsidRPr="008F7CF0">
        <w:t>investigateurs ;</w:t>
      </w:r>
    </w:p>
    <w:p w14:paraId="4793F9CB" w14:textId="754CD804" w:rsidR="008F7CF0" w:rsidRPr="008F7CF0" w:rsidRDefault="008F7CF0" w:rsidP="008F7CF0">
      <w:pPr>
        <w:numPr>
          <w:ilvl w:val="0"/>
          <w:numId w:val="7"/>
        </w:numPr>
      </w:pPr>
      <w:r w:rsidRPr="008F7CF0">
        <w:t>Devenir des patients après l’étude (droit aux soins respectés</w:t>
      </w:r>
      <w:r w:rsidRPr="008F7CF0">
        <w:t>) ;</w:t>
      </w:r>
    </w:p>
    <w:p w14:paraId="12E2C8E6" w14:textId="77777777" w:rsidR="008F7CF0" w:rsidRPr="008F7CF0" w:rsidRDefault="008F7CF0" w:rsidP="008F7CF0">
      <w:pPr>
        <w:numPr>
          <w:ilvl w:val="0"/>
          <w:numId w:val="7"/>
        </w:numPr>
      </w:pPr>
      <w:r w:rsidRPr="008F7CF0">
        <w:lastRenderedPageBreak/>
        <w:t>Adéquation des moyens utilisés et des objectifs de l’étude (nombre d’échantillons biologiques prélevés et leur finalité, pertinence de la question scientifique et des moyens mis en œuvre par le promoteur pour y répondre, sans mise en danger du patient, etc.).</w:t>
      </w:r>
    </w:p>
    <w:p w14:paraId="2141E577" w14:textId="77777777" w:rsidR="008F7CF0" w:rsidRPr="008F7CF0" w:rsidRDefault="008F7CF0" w:rsidP="008F7CF0">
      <w:r w:rsidRPr="008F7CF0">
        <w:t>Autorités compétentes ou instances réglementaires : En France, l’autorité compétente est l’Agence Nationale de Sécurité des Médicaments et des produits de santé (ANSM).</w:t>
      </w:r>
    </w:p>
    <w:p w14:paraId="780CCBC3" w14:textId="77777777" w:rsidR="008F7CF0" w:rsidRPr="008F7CF0" w:rsidRDefault="008F7CF0" w:rsidP="008F7CF0">
      <w:r w:rsidRPr="008F7CF0">
        <w:t xml:space="preserve">Rôle des Instances Réglementaires : </w:t>
      </w:r>
    </w:p>
    <w:p w14:paraId="1DF1E743" w14:textId="4C24DD06" w:rsidR="008F7CF0" w:rsidRPr="008F7CF0" w:rsidRDefault="008F7CF0" w:rsidP="008F7CF0">
      <w:pPr>
        <w:numPr>
          <w:ilvl w:val="0"/>
          <w:numId w:val="8"/>
        </w:numPr>
      </w:pPr>
      <w:r w:rsidRPr="008F7CF0">
        <w:t xml:space="preserve">Donnent les autorisations de mettre en place les </w:t>
      </w:r>
      <w:r w:rsidRPr="008F7CF0">
        <w:t>essais ;</w:t>
      </w:r>
    </w:p>
    <w:p w14:paraId="6441ACB6" w14:textId="427FDE6D" w:rsidR="008F7CF0" w:rsidRPr="008F7CF0" w:rsidRDefault="008F7CF0" w:rsidP="008F7CF0">
      <w:pPr>
        <w:numPr>
          <w:ilvl w:val="0"/>
          <w:numId w:val="8"/>
        </w:numPr>
      </w:pPr>
      <w:r w:rsidRPr="008F7CF0">
        <w:t xml:space="preserve">Donnent les autorisations de mise sur le marché pour les nouveaux </w:t>
      </w:r>
      <w:r w:rsidRPr="008F7CF0">
        <w:t>médicaments ;</w:t>
      </w:r>
    </w:p>
    <w:p w14:paraId="468BA4DF" w14:textId="4EA46EE4" w:rsidR="008F7CF0" w:rsidRPr="008F7CF0" w:rsidRDefault="008F7CF0" w:rsidP="008F7CF0">
      <w:pPr>
        <w:numPr>
          <w:ilvl w:val="0"/>
          <w:numId w:val="8"/>
        </w:numPr>
      </w:pPr>
      <w:r w:rsidRPr="008F7CF0">
        <w:t xml:space="preserve">Peuvent ordonner l’arrêt d’un essai ou le retrait d’un </w:t>
      </w:r>
      <w:r w:rsidRPr="008F7CF0">
        <w:t>médicament ;</w:t>
      </w:r>
    </w:p>
    <w:p w14:paraId="7640E848" w14:textId="03643D20" w:rsidR="008F7CF0" w:rsidRPr="008F7CF0" w:rsidRDefault="008F7CF0" w:rsidP="008F7CF0">
      <w:pPr>
        <w:numPr>
          <w:ilvl w:val="0"/>
          <w:numId w:val="8"/>
        </w:numPr>
      </w:pPr>
      <w:r w:rsidRPr="008F7CF0">
        <w:t xml:space="preserve">Rôle de surveillance de la Pharmacovigilance des médicaments avant et après leur mise sur le </w:t>
      </w:r>
      <w:r w:rsidRPr="008F7CF0">
        <w:t>marché ;</w:t>
      </w:r>
    </w:p>
    <w:p w14:paraId="3B67A3B9" w14:textId="046DD3F7" w:rsidR="006C3C70" w:rsidRPr="00DB6CA9" w:rsidRDefault="008F7CF0" w:rsidP="00E04057">
      <w:pPr>
        <w:numPr>
          <w:ilvl w:val="0"/>
          <w:numId w:val="8"/>
        </w:numPr>
      </w:pPr>
      <w:r w:rsidRPr="008F7CF0">
        <w:t>Rôle d’information pour le public.</w:t>
      </w:r>
    </w:p>
    <w:p w14:paraId="2698F4B7" w14:textId="77777777" w:rsidR="001812D9" w:rsidRPr="001812D9" w:rsidRDefault="001812D9" w:rsidP="00DB6CA9">
      <w:pPr>
        <w:pStyle w:val="Paragraphedeliste"/>
        <w:numPr>
          <w:ilvl w:val="0"/>
          <w:numId w:val="25"/>
        </w:numPr>
        <w:rPr>
          <w:u w:val="single"/>
        </w:rPr>
      </w:pPr>
      <w:r w:rsidRPr="001812D9">
        <w:rPr>
          <w:u w:val="single"/>
        </w:rPr>
        <w:t xml:space="preserve">L’Attaché de Recherche Clinique (ARC) : </w:t>
      </w:r>
    </w:p>
    <w:p w14:paraId="54F0E3FD" w14:textId="77777777" w:rsidR="001812D9" w:rsidRPr="001812D9" w:rsidRDefault="001812D9" w:rsidP="001812D9">
      <w:r w:rsidRPr="001812D9">
        <w:t>On distingue :</w:t>
      </w:r>
    </w:p>
    <w:p w14:paraId="38673864" w14:textId="77777777" w:rsidR="001812D9" w:rsidRPr="001812D9" w:rsidRDefault="001812D9" w:rsidP="00DB6CA9">
      <w:pPr>
        <w:pStyle w:val="Paragraphedeliste"/>
        <w:numPr>
          <w:ilvl w:val="0"/>
          <w:numId w:val="25"/>
        </w:numPr>
      </w:pPr>
      <w:r w:rsidRPr="001812D9">
        <w:rPr>
          <w:u w:val="single"/>
        </w:rPr>
        <w:t>L’ARC promoteur</w:t>
      </w:r>
      <w:r w:rsidRPr="001812D9">
        <w:t xml:space="preserve"> : Personne mandatée par le promoteur, formée aux contraintes des essais cliniques (législation locale et internationale, Bonnes Pratiques Cliniques et au protocole de l’étude clinique) et chargée d’effectuer pendant les essais les contrôles qualité nécessaires, selon la réglementation.</w:t>
      </w:r>
    </w:p>
    <w:p w14:paraId="6AEB1D75" w14:textId="50E81B60" w:rsidR="001812D9" w:rsidRPr="001812D9" w:rsidRDefault="001812D9" w:rsidP="001812D9">
      <w:r w:rsidRPr="001812D9">
        <w:t>L’ARC</w:t>
      </w:r>
      <w:r w:rsidRPr="001812D9">
        <w:t xml:space="preserve"> est soumis au respect du secret professionnel et peut donc avoir accès à tout document médical en rapport avec un patient inclus dans un essai.</w:t>
      </w:r>
    </w:p>
    <w:p w14:paraId="58D5F622" w14:textId="77777777" w:rsidR="001812D9" w:rsidRPr="001812D9" w:rsidRDefault="001812D9" w:rsidP="001812D9">
      <w:r w:rsidRPr="001812D9">
        <w:t>Le secret professionnel est l’obligation imposée à un professionnel (ici un professionnel de recherche clinique) de ne divulguer à quiconque les informations dont il a eu connaissance sur des personnes dans le cadre de l’exercice de sa profession (informations confiées, vues, entendues ou comprises).</w:t>
      </w:r>
    </w:p>
    <w:p w14:paraId="23504E18" w14:textId="77777777" w:rsidR="001812D9" w:rsidRPr="001812D9" w:rsidRDefault="001812D9" w:rsidP="001812D9">
      <w:r w:rsidRPr="001812D9">
        <w:t>L’ARC occupe un rôle essentiel dans la conduite des essais cliniques = Rôle d’interface entre le laboratoire (ou celui qui finance la recherche) et le médecin investigateur (ou celui qui réalise la recherche).</w:t>
      </w:r>
    </w:p>
    <w:p w14:paraId="5AD0BD18" w14:textId="77777777" w:rsidR="001812D9" w:rsidRPr="001812D9" w:rsidRDefault="001812D9" w:rsidP="001812D9">
      <w:r w:rsidRPr="001812D9">
        <w:t>Missions principales de l’ARC :</w:t>
      </w:r>
    </w:p>
    <w:p w14:paraId="14F31B69" w14:textId="635CCA38" w:rsidR="001812D9" w:rsidRPr="001812D9" w:rsidRDefault="001812D9" w:rsidP="001812D9">
      <w:pPr>
        <w:numPr>
          <w:ilvl w:val="0"/>
          <w:numId w:val="9"/>
        </w:numPr>
      </w:pPr>
      <w:r w:rsidRPr="001812D9">
        <w:t xml:space="preserve">Vérifier le respect par l'investigateur du protocole de l'essai, l'application de la loi et des bonnes pratiques cliniques et s'assurer du remplissage correct et complet des cahiers d'observations qui seront envoyés à </w:t>
      </w:r>
      <w:r w:rsidRPr="001812D9">
        <w:t>l’analyse ;</w:t>
      </w:r>
    </w:p>
    <w:p w14:paraId="4D6F4EE1" w14:textId="77777777" w:rsidR="001812D9" w:rsidRPr="001812D9" w:rsidRDefault="001812D9" w:rsidP="001812D9">
      <w:pPr>
        <w:numPr>
          <w:ilvl w:val="0"/>
          <w:numId w:val="9"/>
        </w:numPr>
      </w:pPr>
      <w:r w:rsidRPr="001812D9">
        <w:t>Mise en place et suivi des études (contrôle qualité</w:t>
      </w:r>
      <w:proofErr w:type="gramStart"/>
      <w:r w:rsidRPr="001812D9">
        <w:t>);</w:t>
      </w:r>
      <w:proofErr w:type="gramEnd"/>
    </w:p>
    <w:p w14:paraId="4231EF5F" w14:textId="4F72CE18" w:rsidR="001812D9" w:rsidRPr="001812D9" w:rsidRDefault="001812D9" w:rsidP="001812D9">
      <w:pPr>
        <w:numPr>
          <w:ilvl w:val="0"/>
          <w:numId w:val="10"/>
        </w:numPr>
        <w:tabs>
          <w:tab w:val="left" w:pos="720"/>
        </w:tabs>
      </w:pPr>
      <w:r w:rsidRPr="001812D9">
        <w:t xml:space="preserve">Superviser la saisie des données et s’assurer de la qualité, de la fiabilité et de l'authenticité des données scientifiques recueillies dans le cadre de la réalisation des essais </w:t>
      </w:r>
      <w:r w:rsidRPr="001812D9">
        <w:t>cliniques ;</w:t>
      </w:r>
    </w:p>
    <w:p w14:paraId="10B8DCFE" w14:textId="2B2DD11E" w:rsidR="001812D9" w:rsidRPr="001812D9" w:rsidRDefault="001812D9" w:rsidP="001812D9">
      <w:pPr>
        <w:numPr>
          <w:ilvl w:val="0"/>
          <w:numId w:val="10"/>
        </w:numPr>
        <w:tabs>
          <w:tab w:val="left" w:pos="720"/>
        </w:tabs>
      </w:pPr>
      <w:r w:rsidRPr="001812D9">
        <w:t xml:space="preserve">Assurer les relations avec les </w:t>
      </w:r>
      <w:r w:rsidRPr="001812D9">
        <w:t>investigateurs ;</w:t>
      </w:r>
    </w:p>
    <w:p w14:paraId="1F02A8B5" w14:textId="3D69FB66" w:rsidR="001812D9" w:rsidRPr="001812D9" w:rsidRDefault="001812D9" w:rsidP="001812D9">
      <w:pPr>
        <w:numPr>
          <w:ilvl w:val="0"/>
          <w:numId w:val="10"/>
        </w:numPr>
        <w:tabs>
          <w:tab w:val="left" w:pos="720"/>
        </w:tabs>
      </w:pPr>
      <w:r w:rsidRPr="001812D9">
        <w:t xml:space="preserve">Participer à la rédaction des documents de </w:t>
      </w:r>
      <w:r w:rsidRPr="001812D9">
        <w:t>l’étude ;</w:t>
      </w:r>
    </w:p>
    <w:p w14:paraId="440EF694" w14:textId="65DCDA56" w:rsidR="001812D9" w:rsidRPr="001812D9" w:rsidRDefault="001812D9" w:rsidP="001812D9">
      <w:pPr>
        <w:numPr>
          <w:ilvl w:val="0"/>
          <w:numId w:val="10"/>
        </w:numPr>
        <w:tabs>
          <w:tab w:val="left" w:pos="720"/>
        </w:tabs>
      </w:pPr>
      <w:r w:rsidRPr="001812D9">
        <w:lastRenderedPageBreak/>
        <w:t>S’assurer, en allant dans les centres investigateurs, de la concordance des données recueillies avec les documents-</w:t>
      </w:r>
      <w:r w:rsidRPr="001812D9">
        <w:t>source ;</w:t>
      </w:r>
    </w:p>
    <w:p w14:paraId="0D1668E8" w14:textId="77777777" w:rsidR="001812D9" w:rsidRPr="001812D9" w:rsidRDefault="001812D9" w:rsidP="001812D9">
      <w:pPr>
        <w:numPr>
          <w:ilvl w:val="0"/>
          <w:numId w:val="10"/>
        </w:numPr>
        <w:tabs>
          <w:tab w:val="left" w:pos="720"/>
        </w:tabs>
      </w:pPr>
      <w:r w:rsidRPr="001812D9">
        <w:t>Vérifier le respect des droits des patients et leur sécurité.</w:t>
      </w:r>
    </w:p>
    <w:p w14:paraId="1B0249D5" w14:textId="77777777" w:rsidR="001812D9" w:rsidRPr="001812D9" w:rsidRDefault="001812D9" w:rsidP="00DB6CA9">
      <w:pPr>
        <w:pStyle w:val="Paragraphedeliste"/>
        <w:numPr>
          <w:ilvl w:val="0"/>
          <w:numId w:val="25"/>
        </w:numPr>
      </w:pPr>
      <w:r w:rsidRPr="001812D9">
        <w:rPr>
          <w:u w:val="single"/>
        </w:rPr>
        <w:t>L’ARC hospitalier</w:t>
      </w:r>
      <w:r w:rsidRPr="001812D9">
        <w:t xml:space="preserve"> : </w:t>
      </w:r>
    </w:p>
    <w:p w14:paraId="41D73A1C" w14:textId="3831C431" w:rsidR="001812D9" w:rsidRPr="001812D9" w:rsidRDefault="001812D9" w:rsidP="001812D9">
      <w:pPr>
        <w:numPr>
          <w:ilvl w:val="0"/>
          <w:numId w:val="11"/>
        </w:numPr>
      </w:pPr>
      <w:r w:rsidRPr="001812D9">
        <w:t xml:space="preserve">Travaille en collaboration direct avec un investigateur dans un site d’investigation </w:t>
      </w:r>
      <w:r w:rsidRPr="001812D9">
        <w:t>clinique ;</w:t>
      </w:r>
    </w:p>
    <w:p w14:paraId="78DD13D1" w14:textId="029E1B88" w:rsidR="001812D9" w:rsidRPr="001812D9" w:rsidRDefault="001812D9" w:rsidP="001812D9">
      <w:pPr>
        <w:numPr>
          <w:ilvl w:val="0"/>
          <w:numId w:val="11"/>
        </w:numPr>
      </w:pPr>
      <w:r w:rsidRPr="001812D9">
        <w:t xml:space="preserve">Travaille dans une structure hospitalière, </w:t>
      </w:r>
      <w:proofErr w:type="gramStart"/>
      <w:r w:rsidRPr="001812D9">
        <w:t>a</w:t>
      </w:r>
      <w:proofErr w:type="gramEnd"/>
      <w:r w:rsidRPr="001812D9">
        <w:t xml:space="preserve"> un rôle d’assistance du médecin investigateur sur le lieu d’une étude </w:t>
      </w:r>
      <w:r w:rsidRPr="001812D9">
        <w:t>clinique ;</w:t>
      </w:r>
    </w:p>
    <w:p w14:paraId="544E3C59" w14:textId="4D14BD13" w:rsidR="001812D9" w:rsidRPr="001812D9" w:rsidRDefault="001812D9" w:rsidP="001812D9">
      <w:pPr>
        <w:numPr>
          <w:ilvl w:val="0"/>
          <w:numId w:val="11"/>
        </w:numPr>
      </w:pPr>
      <w:r w:rsidRPr="001812D9">
        <w:t xml:space="preserve">Assure la gestion de la logistique de la recherche chez l’investigateur (patients, traitements, prélèvements, </w:t>
      </w:r>
      <w:r w:rsidRPr="001812D9">
        <w:t>etc.</w:t>
      </w:r>
      <w:proofErr w:type="gramStart"/>
      <w:r w:rsidRPr="001812D9">
        <w:t>);</w:t>
      </w:r>
      <w:proofErr w:type="gramEnd"/>
    </w:p>
    <w:p w14:paraId="586E133F" w14:textId="56F67C20" w:rsidR="001812D9" w:rsidRPr="001812D9" w:rsidRDefault="001812D9" w:rsidP="001812D9">
      <w:pPr>
        <w:numPr>
          <w:ilvl w:val="0"/>
          <w:numId w:val="11"/>
        </w:numPr>
      </w:pPr>
      <w:r w:rsidRPr="001812D9">
        <w:t xml:space="preserve">Assure le bon déroulement de celle-ci, tout en gérant les aspects logistiques avec, par exemple, la planification des visites des </w:t>
      </w:r>
      <w:r w:rsidRPr="001812D9">
        <w:t>patients ;</w:t>
      </w:r>
    </w:p>
    <w:p w14:paraId="11E54DD4" w14:textId="77777777" w:rsidR="001812D9" w:rsidRPr="001812D9" w:rsidRDefault="001812D9" w:rsidP="001812D9">
      <w:pPr>
        <w:numPr>
          <w:ilvl w:val="0"/>
          <w:numId w:val="11"/>
        </w:numPr>
      </w:pPr>
      <w:r w:rsidRPr="001812D9">
        <w:t>Recueil des données sur les cahiers d’observation (tache déléguée par l’investigateur</w:t>
      </w:r>
      <w:proofErr w:type="gramStart"/>
      <w:r w:rsidRPr="001812D9">
        <w:t>);</w:t>
      </w:r>
      <w:proofErr w:type="gramEnd"/>
    </w:p>
    <w:p w14:paraId="24E76DBF" w14:textId="60006954" w:rsidR="001812D9" w:rsidRPr="001812D9" w:rsidRDefault="001812D9" w:rsidP="001812D9">
      <w:pPr>
        <w:numPr>
          <w:ilvl w:val="0"/>
          <w:numId w:val="11"/>
        </w:numPr>
      </w:pPr>
      <w:r w:rsidRPr="001812D9">
        <w:t xml:space="preserve">Assure également la communication entre les différents intervenants de l’étude, et peut avoir un rapport direct avec les </w:t>
      </w:r>
      <w:r w:rsidRPr="001812D9">
        <w:t>patients ;</w:t>
      </w:r>
    </w:p>
    <w:p w14:paraId="5D6A06E9" w14:textId="7DA3725A" w:rsidR="001812D9" w:rsidRPr="001812D9" w:rsidRDefault="001812D9" w:rsidP="001812D9">
      <w:pPr>
        <w:numPr>
          <w:ilvl w:val="0"/>
          <w:numId w:val="11"/>
        </w:numPr>
      </w:pPr>
      <w:r w:rsidRPr="001812D9">
        <w:t xml:space="preserve">Recueil et notification des évènements indésirables graves survenant lors de la recherche sous la responsabilité du médecin </w:t>
      </w:r>
      <w:r w:rsidRPr="001812D9">
        <w:t>investigateur ;</w:t>
      </w:r>
    </w:p>
    <w:p w14:paraId="42348CF7" w14:textId="0DD44B76" w:rsidR="006C3C70" w:rsidRPr="00E04057" w:rsidRDefault="001812D9" w:rsidP="00E04057">
      <w:pPr>
        <w:numPr>
          <w:ilvl w:val="0"/>
          <w:numId w:val="11"/>
        </w:numPr>
      </w:pPr>
      <w:r w:rsidRPr="001812D9">
        <w:t xml:space="preserve">Suivi des patients, gestion des visites et des </w:t>
      </w:r>
      <w:r w:rsidRPr="001812D9">
        <w:t>RDV</w:t>
      </w:r>
      <w:r w:rsidRPr="001812D9">
        <w:t xml:space="preserve"> de patients.</w:t>
      </w:r>
    </w:p>
    <w:p w14:paraId="19BDC2E0" w14:textId="1AEB7320" w:rsidR="00B21CB5" w:rsidRPr="008D3658" w:rsidRDefault="00E04057" w:rsidP="00E04057">
      <w:pPr>
        <w:pStyle w:val="Titre2"/>
        <w:numPr>
          <w:ilvl w:val="0"/>
          <w:numId w:val="4"/>
        </w:numPr>
      </w:pPr>
      <w:bookmarkStart w:id="6" w:name="_Toc118307102"/>
      <w:r w:rsidRPr="00E04057">
        <w:t>Quels sont les lieux de la Recherche Clinique ?</w:t>
      </w:r>
      <w:bookmarkEnd w:id="6"/>
    </w:p>
    <w:p w14:paraId="3B3BA368" w14:textId="77777777" w:rsidR="00B21CB5" w:rsidRPr="00B21CB5" w:rsidRDefault="00B21CB5" w:rsidP="00B21CB5">
      <w:r w:rsidRPr="00B21CB5">
        <w:t xml:space="preserve">En général, on trouve : </w:t>
      </w:r>
    </w:p>
    <w:p w14:paraId="79F8A6FE" w14:textId="39CF4F16" w:rsidR="00B21CB5" w:rsidRPr="00B21CB5" w:rsidRDefault="00B21CB5" w:rsidP="00B21CB5">
      <w:pPr>
        <w:numPr>
          <w:ilvl w:val="0"/>
          <w:numId w:val="12"/>
        </w:numPr>
      </w:pPr>
      <w:r w:rsidRPr="00B21CB5">
        <w:t xml:space="preserve">Les hôpitaux publics : tous les services, toutes les </w:t>
      </w:r>
      <w:r w:rsidRPr="00B21CB5">
        <w:t>spécialités ;</w:t>
      </w:r>
    </w:p>
    <w:p w14:paraId="532B52C9" w14:textId="5139B4AD" w:rsidR="00B21CB5" w:rsidRPr="00B21CB5" w:rsidRDefault="00B21CB5" w:rsidP="00B21CB5">
      <w:pPr>
        <w:numPr>
          <w:ilvl w:val="0"/>
          <w:numId w:val="12"/>
        </w:numPr>
      </w:pPr>
      <w:r w:rsidRPr="00B21CB5">
        <w:t xml:space="preserve">Les centres </w:t>
      </w:r>
      <w:r w:rsidRPr="00B21CB5">
        <w:t>anticancéreux ;</w:t>
      </w:r>
    </w:p>
    <w:p w14:paraId="4013D43E" w14:textId="768245A9" w:rsidR="00B21CB5" w:rsidRPr="00B21CB5" w:rsidRDefault="00B21CB5" w:rsidP="00B21CB5">
      <w:pPr>
        <w:numPr>
          <w:ilvl w:val="0"/>
          <w:numId w:val="12"/>
        </w:numPr>
      </w:pPr>
      <w:r w:rsidRPr="00B21CB5">
        <w:t xml:space="preserve">Les établissements de médecine et de chirurgie privés, toutes </w:t>
      </w:r>
      <w:r w:rsidRPr="00B21CB5">
        <w:t>spécialités ;</w:t>
      </w:r>
    </w:p>
    <w:p w14:paraId="53C22597" w14:textId="77777777" w:rsidR="00B21CB5" w:rsidRPr="00B21CB5" w:rsidRDefault="00B21CB5" w:rsidP="00B21CB5">
      <w:pPr>
        <w:numPr>
          <w:ilvl w:val="0"/>
          <w:numId w:val="12"/>
        </w:numPr>
      </w:pPr>
      <w:r w:rsidRPr="00B21CB5">
        <w:t>Les centres d’investigation clinique rattachés généralement aux Centres Hospitaliers Universitaires (</w:t>
      </w:r>
      <w:proofErr w:type="spellStart"/>
      <w:r w:rsidRPr="00B21CB5">
        <w:t>CHUs</w:t>
      </w:r>
      <w:proofErr w:type="spellEnd"/>
      <w:proofErr w:type="gramStart"/>
      <w:r w:rsidRPr="00B21CB5">
        <w:t>);</w:t>
      </w:r>
      <w:proofErr w:type="gramEnd"/>
    </w:p>
    <w:p w14:paraId="5A28EE3E" w14:textId="77777777" w:rsidR="00B21CB5" w:rsidRPr="00B21CB5" w:rsidRDefault="00B21CB5" w:rsidP="00B21CB5">
      <w:pPr>
        <w:numPr>
          <w:ilvl w:val="0"/>
          <w:numId w:val="12"/>
        </w:numPr>
      </w:pPr>
      <w:r w:rsidRPr="00B21CB5">
        <w:t>Les unités de phase I et toutes les unités spécialisées.</w:t>
      </w:r>
    </w:p>
    <w:p w14:paraId="6F4898F0" w14:textId="50A7BB79" w:rsidR="00B21CB5" w:rsidRPr="00B21CB5" w:rsidRDefault="00B21CB5" w:rsidP="00B21CB5">
      <w:r w:rsidRPr="00B21CB5">
        <w:t xml:space="preserve">En Ophtalmologie et dans la basse vision, on peut citer les principaux organismes dans la </w:t>
      </w:r>
      <w:r w:rsidR="008D3658" w:rsidRPr="00B21CB5">
        <w:t>région</w:t>
      </w:r>
      <w:r w:rsidRPr="00B21CB5">
        <w:t xml:space="preserve"> parisienne :</w:t>
      </w:r>
    </w:p>
    <w:p w14:paraId="4F2015EA" w14:textId="64F15A7C" w:rsidR="00B21CB5" w:rsidRPr="00B21CB5" w:rsidRDefault="00B21CB5" w:rsidP="00B21CB5">
      <w:pPr>
        <w:numPr>
          <w:ilvl w:val="0"/>
          <w:numId w:val="13"/>
        </w:numPr>
      </w:pPr>
      <w:r w:rsidRPr="00B21CB5">
        <w:t xml:space="preserve">Centre d’Investigation Clinique au CHNO </w:t>
      </w:r>
      <w:r w:rsidRPr="00B21CB5">
        <w:t>des quinze-vingts ;</w:t>
      </w:r>
    </w:p>
    <w:p w14:paraId="1CF58D0C" w14:textId="448028A3" w:rsidR="00B21CB5" w:rsidRPr="00B21CB5" w:rsidRDefault="00B21CB5" w:rsidP="00B21CB5">
      <w:pPr>
        <w:numPr>
          <w:ilvl w:val="0"/>
          <w:numId w:val="13"/>
        </w:numPr>
      </w:pPr>
      <w:r w:rsidRPr="00B21CB5">
        <w:t xml:space="preserve">Hôpital Fondation Adolphe de </w:t>
      </w:r>
      <w:r w:rsidRPr="00B21CB5">
        <w:t>Rothschild ;</w:t>
      </w:r>
    </w:p>
    <w:p w14:paraId="1330D370" w14:textId="09FA8AFE" w:rsidR="00B21CB5" w:rsidRPr="00B21CB5" w:rsidRDefault="00B21CB5" w:rsidP="00B21CB5">
      <w:pPr>
        <w:numPr>
          <w:ilvl w:val="0"/>
          <w:numId w:val="13"/>
        </w:numPr>
      </w:pPr>
      <w:r w:rsidRPr="00B21CB5">
        <w:t xml:space="preserve">L’institut de la </w:t>
      </w:r>
      <w:r w:rsidRPr="00B21CB5">
        <w:t>vision ;</w:t>
      </w:r>
    </w:p>
    <w:p w14:paraId="66373843" w14:textId="2B6B74C8" w:rsidR="00B21CB5" w:rsidRPr="00E04057" w:rsidRDefault="00B21CB5" w:rsidP="00E04057">
      <w:pPr>
        <w:numPr>
          <w:ilvl w:val="0"/>
          <w:numId w:val="13"/>
        </w:numPr>
      </w:pPr>
      <w:r w:rsidRPr="00B21CB5">
        <w:lastRenderedPageBreak/>
        <w:t>Associations …</w:t>
      </w:r>
    </w:p>
    <w:p w14:paraId="27A631FE" w14:textId="46343326" w:rsidR="00236669" w:rsidRPr="008D3658" w:rsidRDefault="00E04057" w:rsidP="00E04057">
      <w:pPr>
        <w:pStyle w:val="Titre1"/>
        <w:numPr>
          <w:ilvl w:val="0"/>
          <w:numId w:val="1"/>
        </w:numPr>
      </w:pPr>
      <w:bookmarkStart w:id="7" w:name="_Toc118307103"/>
      <w:r w:rsidRPr="00E04057">
        <w:t xml:space="preserve">Le cadre législatif et réglementaire des Recherches portant sur la personne en </w:t>
      </w:r>
      <w:r w:rsidR="00236669" w:rsidRPr="00236669">
        <w:t>France</w:t>
      </w:r>
      <w:bookmarkEnd w:id="7"/>
    </w:p>
    <w:p w14:paraId="633E1FBE" w14:textId="6A3A1515" w:rsidR="00236669" w:rsidRPr="00E04057" w:rsidRDefault="00236669" w:rsidP="00236669">
      <w:pPr>
        <w:pStyle w:val="Titre2"/>
        <w:numPr>
          <w:ilvl w:val="0"/>
          <w:numId w:val="14"/>
        </w:numPr>
      </w:pPr>
      <w:bookmarkStart w:id="8" w:name="_Toc118307104"/>
      <w:r w:rsidRPr="00E04057">
        <w:t>Historique</w:t>
      </w:r>
      <w:bookmarkEnd w:id="8"/>
    </w:p>
    <w:p w14:paraId="6AA9A21C" w14:textId="77777777" w:rsidR="00236669" w:rsidRPr="00236669" w:rsidRDefault="00236669" w:rsidP="00236669">
      <w:r w:rsidRPr="00236669">
        <w:t xml:space="preserve">Les expérimentations menées sur l'homme pendant la Seconde Guerre mondiale ont amené les différents pays à se concerter pour définir des principes éthiques. Ceux-ci ont été énoncés dans le </w:t>
      </w:r>
      <w:r w:rsidRPr="00236669">
        <w:rPr>
          <w:u w:val="single"/>
        </w:rPr>
        <w:t>Code de Nuremberg de 1947</w:t>
      </w:r>
      <w:r w:rsidRPr="00236669">
        <w:t xml:space="preserve"> qui constitue la base des textes de loi réglementant dorénavant les expérimentations humaines. Ces notions ont donné naissance aux déclarations d'Helsinki de 1964 (que l'on retrouve de façon quasi systématique en annexe de tout protocole clinique), de Tokyo en 1975 qui introduisirent le terme de comité d'éthique, et de Manille en 1981.</w:t>
      </w:r>
    </w:p>
    <w:p w14:paraId="08BD0303" w14:textId="77777777" w:rsidR="00236669" w:rsidRPr="00236669" w:rsidRDefault="00236669" w:rsidP="00236669">
      <w:r w:rsidRPr="00236669">
        <w:t xml:space="preserve">C'est sur ces diverses déclarations que s'est appuyé le groupe de travail d'experts pour élaborer les premières Bonnes Pratiques Cliniques (BPC) en 1987. Ces BPC, unifiées en 1997, ont donné lieu à des directives qui ont à leur tour permis aux états de fonder leurs lois respectives. Depuis 1995, les ICH (International </w:t>
      </w:r>
      <w:proofErr w:type="spellStart"/>
      <w:r w:rsidRPr="00236669">
        <w:t>Conference</w:t>
      </w:r>
      <w:proofErr w:type="spellEnd"/>
      <w:r w:rsidRPr="00236669">
        <w:t xml:space="preserve"> on </w:t>
      </w:r>
      <w:proofErr w:type="spellStart"/>
      <w:r w:rsidRPr="00236669">
        <w:t>Harmonization</w:t>
      </w:r>
      <w:proofErr w:type="spellEnd"/>
      <w:r w:rsidRPr="00236669">
        <w:t>) qui se tiennent tous les deux ans permettent aux États-Unis, au Japon et à l’Europe d'harmoniser leurs pratiques.</w:t>
      </w:r>
    </w:p>
    <w:p w14:paraId="527478AD" w14:textId="77777777" w:rsidR="00236669" w:rsidRPr="00E04057" w:rsidRDefault="00236669" w:rsidP="00E04057"/>
    <w:p w14:paraId="3A43128D" w14:textId="6F79BAAD" w:rsidR="00236669" w:rsidRPr="00236669" w:rsidRDefault="00E04057" w:rsidP="00E04057">
      <w:pPr>
        <w:pStyle w:val="Titre2"/>
        <w:numPr>
          <w:ilvl w:val="0"/>
          <w:numId w:val="14"/>
        </w:numPr>
      </w:pPr>
      <w:bookmarkStart w:id="9" w:name="_Toc118307105"/>
      <w:r w:rsidRPr="00E04057">
        <w:t>Quelques dates</w:t>
      </w:r>
      <w:bookmarkEnd w:id="9"/>
    </w:p>
    <w:p w14:paraId="3311C45D" w14:textId="677B9774" w:rsidR="00236669" w:rsidRPr="00236669" w:rsidRDefault="00236669" w:rsidP="00236669">
      <w:r w:rsidRPr="00236669">
        <w:t xml:space="preserve">En </w:t>
      </w:r>
      <w:r w:rsidRPr="00236669">
        <w:t xml:space="preserve">1947 : </w:t>
      </w:r>
      <w:r w:rsidRPr="00236669">
        <w:t xml:space="preserve">le </w:t>
      </w:r>
      <w:r w:rsidRPr="00236669">
        <w:t xml:space="preserve">Code Nuremberg : Ce code fut le premier document international majeur à fournir des directives concernant l’éthique de la recherche. Il a fait du </w:t>
      </w:r>
      <w:r w:rsidRPr="00236669">
        <w:rPr>
          <w:u w:val="single"/>
        </w:rPr>
        <w:t>consentement volontaire</w:t>
      </w:r>
      <w:r w:rsidRPr="00236669">
        <w:t xml:space="preserve"> une exigence dans le cadre de la recherche clinique, en insistant sur le fait que le consentement n’est volontaire que si :</w:t>
      </w:r>
    </w:p>
    <w:p w14:paraId="4BA6FFF2" w14:textId="46BF71A5" w:rsidR="00236669" w:rsidRPr="00236669" w:rsidRDefault="00236669" w:rsidP="00236669">
      <w:pPr>
        <w:numPr>
          <w:ilvl w:val="0"/>
          <w:numId w:val="15"/>
        </w:numPr>
      </w:pPr>
      <w:r w:rsidRPr="00236669">
        <w:t>Les</w:t>
      </w:r>
      <w:r w:rsidRPr="00236669">
        <w:t xml:space="preserve"> participants ont la capacité de </w:t>
      </w:r>
      <w:r w:rsidR="008D3658" w:rsidRPr="00236669">
        <w:t>consentir ;</w:t>
      </w:r>
      <w:r w:rsidRPr="00236669">
        <w:t xml:space="preserve"> </w:t>
      </w:r>
    </w:p>
    <w:p w14:paraId="60B5D0C9" w14:textId="75E3AA5D" w:rsidR="00236669" w:rsidRPr="00236669" w:rsidRDefault="00236669" w:rsidP="00236669">
      <w:pPr>
        <w:numPr>
          <w:ilvl w:val="0"/>
          <w:numId w:val="15"/>
        </w:numPr>
      </w:pPr>
      <w:r w:rsidRPr="00236669">
        <w:t>Sont</w:t>
      </w:r>
      <w:r w:rsidRPr="00236669">
        <w:t xml:space="preserve"> libres de toute contrainte (par exemple d’une pression extérieure</w:t>
      </w:r>
      <w:proofErr w:type="gramStart"/>
      <w:r w:rsidRPr="00236669">
        <w:t>);</w:t>
      </w:r>
      <w:proofErr w:type="gramEnd"/>
    </w:p>
    <w:p w14:paraId="3A17A21C" w14:textId="1E8505D3" w:rsidR="00236669" w:rsidRPr="00236669" w:rsidRDefault="00236669" w:rsidP="00236669">
      <w:pPr>
        <w:numPr>
          <w:ilvl w:val="0"/>
          <w:numId w:val="15"/>
        </w:numPr>
      </w:pPr>
      <w:r w:rsidRPr="00236669">
        <w:t>Comprennent</w:t>
      </w:r>
      <w:r w:rsidRPr="00236669">
        <w:t xml:space="preserve"> les risques et les bénéfices que cela implique.</w:t>
      </w:r>
    </w:p>
    <w:p w14:paraId="37B2E603" w14:textId="71FE2A21" w:rsidR="00236669" w:rsidRPr="00236669" w:rsidRDefault="00236669" w:rsidP="00236669">
      <w:r w:rsidRPr="00236669">
        <w:t xml:space="preserve">1964 : Déclaration d’Helsinki : C’est la première norme internationale </w:t>
      </w:r>
      <w:r w:rsidRPr="00236669">
        <w:t>en termes de</w:t>
      </w:r>
      <w:r w:rsidRPr="00236669">
        <w:t xml:space="preserve"> recherche médicale (adoptée au cours de l’Assemblée Médicale Mondiale à Helsinki en Finlande). Ses apports : </w:t>
      </w:r>
    </w:p>
    <w:p w14:paraId="652ED2C2" w14:textId="36C2892A" w:rsidR="00236669" w:rsidRPr="00236669" w:rsidRDefault="00236669" w:rsidP="00236669">
      <w:pPr>
        <w:numPr>
          <w:ilvl w:val="0"/>
          <w:numId w:val="16"/>
        </w:numPr>
      </w:pPr>
      <w:r w:rsidRPr="00236669">
        <w:t xml:space="preserve">Ensemble de principes et recommandations aux médecins et autres participants à la recherche médicale sur des êtres </w:t>
      </w:r>
      <w:r w:rsidRPr="00236669">
        <w:t>vivants ;</w:t>
      </w:r>
    </w:p>
    <w:p w14:paraId="50585C3B" w14:textId="44665B03" w:rsidR="00236669" w:rsidRPr="00236669" w:rsidRDefault="00236669" w:rsidP="00236669">
      <w:pPr>
        <w:numPr>
          <w:ilvl w:val="0"/>
          <w:numId w:val="16"/>
        </w:numPr>
      </w:pPr>
      <w:r w:rsidRPr="00236669">
        <w:t xml:space="preserve">Dans la recherche médicale sur les sujets humains, les intérêts de la science et de la société ne doivent jamais prévaloir sur le </w:t>
      </w:r>
      <w:r w:rsidRPr="00236669">
        <w:t>bien</w:t>
      </w:r>
      <w:r>
        <w:t>-</w:t>
      </w:r>
      <w:r w:rsidRPr="00236669">
        <w:t>être</w:t>
      </w:r>
      <w:r w:rsidRPr="00236669">
        <w:t xml:space="preserve"> du sujet;</w:t>
      </w:r>
    </w:p>
    <w:p w14:paraId="68D711A8" w14:textId="1E4557B8" w:rsidR="00236669" w:rsidRPr="00236669" w:rsidRDefault="00236669" w:rsidP="00236669">
      <w:pPr>
        <w:numPr>
          <w:ilvl w:val="0"/>
          <w:numId w:val="16"/>
        </w:numPr>
      </w:pPr>
      <w:r w:rsidRPr="00236669">
        <w:t xml:space="preserve">Protection et respect du </w:t>
      </w:r>
      <w:r w:rsidRPr="00236669">
        <w:t>patient ;</w:t>
      </w:r>
    </w:p>
    <w:p w14:paraId="1DCD4C26" w14:textId="18EDBCBC" w:rsidR="00236669" w:rsidRPr="00236669" w:rsidRDefault="00236669" w:rsidP="00236669">
      <w:pPr>
        <w:numPr>
          <w:ilvl w:val="0"/>
          <w:numId w:val="16"/>
        </w:numPr>
      </w:pPr>
      <w:r w:rsidRPr="00236669">
        <w:t xml:space="preserve">Obtenir le consentement écrit du </w:t>
      </w:r>
      <w:r w:rsidRPr="00236669">
        <w:t>patient ;</w:t>
      </w:r>
    </w:p>
    <w:p w14:paraId="67EF19C8" w14:textId="77777777" w:rsidR="00236669" w:rsidRPr="00236669" w:rsidRDefault="00236669" w:rsidP="00236669">
      <w:pPr>
        <w:numPr>
          <w:ilvl w:val="0"/>
          <w:numId w:val="16"/>
        </w:numPr>
      </w:pPr>
      <w:r w:rsidRPr="00236669">
        <w:t>Ne recourir au placebo que s’il n’existe pas d’autres possibilités.</w:t>
      </w:r>
    </w:p>
    <w:p w14:paraId="73755B07" w14:textId="77777777" w:rsidR="00236669" w:rsidRPr="00236669" w:rsidRDefault="00236669" w:rsidP="00236669">
      <w:r w:rsidRPr="00236669">
        <w:lastRenderedPageBreak/>
        <w:t>1988 : Loi Huriet-</w:t>
      </w:r>
      <w:proofErr w:type="spellStart"/>
      <w:r w:rsidRPr="00236669">
        <w:t>Serusclat</w:t>
      </w:r>
      <w:proofErr w:type="spellEnd"/>
      <w:r w:rsidRPr="00236669">
        <w:t xml:space="preserve"> (droit français) : Première loi en France autorisant la recherche sur l’Homme. Parmi ses apports : </w:t>
      </w:r>
    </w:p>
    <w:p w14:paraId="78321AFE" w14:textId="5298B698" w:rsidR="00236669" w:rsidRPr="00236669" w:rsidRDefault="00236669" w:rsidP="00236669">
      <w:pPr>
        <w:numPr>
          <w:ilvl w:val="0"/>
          <w:numId w:val="17"/>
        </w:numPr>
      </w:pPr>
      <w:r w:rsidRPr="00236669">
        <w:t xml:space="preserve">Obligation de soumettre les protocoles de recherche clinique a un comité consultatif de protection des </w:t>
      </w:r>
      <w:r w:rsidR="00056CAB" w:rsidRPr="00236669">
        <w:t>personnes ;</w:t>
      </w:r>
    </w:p>
    <w:p w14:paraId="3542816D" w14:textId="022129C1" w:rsidR="00236669" w:rsidRPr="00236669" w:rsidRDefault="00236669" w:rsidP="00236669">
      <w:pPr>
        <w:numPr>
          <w:ilvl w:val="0"/>
          <w:numId w:val="17"/>
        </w:numPr>
      </w:pPr>
      <w:r w:rsidRPr="00236669">
        <w:t>Information de l’autorité compétente (AFSSAPS ou Direction Générale de la Santé-DGS</w:t>
      </w:r>
      <w:r w:rsidR="008D3658" w:rsidRPr="00236669">
        <w:t>) ;</w:t>
      </w:r>
    </w:p>
    <w:p w14:paraId="536C15E0" w14:textId="3F8C9B03" w:rsidR="00236669" w:rsidRPr="00236669" w:rsidRDefault="00236669" w:rsidP="00236669">
      <w:pPr>
        <w:numPr>
          <w:ilvl w:val="0"/>
          <w:numId w:val="17"/>
        </w:numPr>
      </w:pPr>
      <w:r w:rsidRPr="00236669">
        <w:t xml:space="preserve">Distinction de l’investigateur du </w:t>
      </w:r>
      <w:r w:rsidR="00056CAB" w:rsidRPr="00236669">
        <w:t>promoteur ;</w:t>
      </w:r>
      <w:r w:rsidRPr="00236669">
        <w:t xml:space="preserve"> </w:t>
      </w:r>
    </w:p>
    <w:p w14:paraId="74902610" w14:textId="77777777" w:rsidR="00236669" w:rsidRPr="00236669" w:rsidRDefault="00236669" w:rsidP="00236669">
      <w:pPr>
        <w:numPr>
          <w:ilvl w:val="0"/>
          <w:numId w:val="17"/>
        </w:numPr>
      </w:pPr>
      <w:r w:rsidRPr="00236669">
        <w:t>Consentement libre et éclairé des patients se prêtant à la recherche clinique;</w:t>
      </w:r>
    </w:p>
    <w:p w14:paraId="59111F09" w14:textId="77777777" w:rsidR="00236669" w:rsidRPr="00236669" w:rsidRDefault="00236669" w:rsidP="00236669">
      <w:pPr>
        <w:numPr>
          <w:ilvl w:val="0"/>
          <w:numId w:val="17"/>
        </w:numPr>
      </w:pPr>
      <w:r w:rsidRPr="00236669">
        <w:t>Protection des populations vulnérables (mineurs, urgence, prisonniers…</w:t>
      </w:r>
      <w:proofErr w:type="gramStart"/>
      <w:r w:rsidRPr="00236669">
        <w:t>);</w:t>
      </w:r>
      <w:proofErr w:type="gramEnd"/>
    </w:p>
    <w:p w14:paraId="00E0736A" w14:textId="5CAE32E8" w:rsidR="00236669" w:rsidRPr="00236669" w:rsidRDefault="00236669" w:rsidP="00236669">
      <w:pPr>
        <w:numPr>
          <w:ilvl w:val="0"/>
          <w:numId w:val="17"/>
        </w:numPr>
      </w:pPr>
      <w:r w:rsidRPr="00236669">
        <w:t xml:space="preserve">Inscription au régime de la sécurité sociale (SS) : assurance </w:t>
      </w:r>
      <w:r w:rsidR="00056CAB" w:rsidRPr="00236669">
        <w:t>obligatoire ;</w:t>
      </w:r>
    </w:p>
    <w:p w14:paraId="3DB86680" w14:textId="77777777" w:rsidR="00236669" w:rsidRPr="00236669" w:rsidRDefault="00236669" w:rsidP="00236669">
      <w:pPr>
        <w:numPr>
          <w:ilvl w:val="0"/>
          <w:numId w:val="17"/>
        </w:numPr>
      </w:pPr>
      <w:r w:rsidRPr="00236669">
        <w:t>Sanction pénale en cas de non-respect.</w:t>
      </w:r>
    </w:p>
    <w:p w14:paraId="664110CB" w14:textId="77777777" w:rsidR="00236669" w:rsidRPr="00236669" w:rsidRDefault="00236669" w:rsidP="00236669">
      <w:r w:rsidRPr="00236669">
        <w:t>2001 : Directive européenne 2001/20/CE : Ensemble de dispositions concernant le rapprochement des dispositions législatives, réglementaires et administratives des Etats membres relatives à l’application des bonnes pratiques cliniques dans l’autorisation, la conduite et la surveillance d’essais cliniques de médicaments à usage humain.</w:t>
      </w:r>
    </w:p>
    <w:p w14:paraId="692E2E4F" w14:textId="77777777" w:rsidR="00236669" w:rsidRPr="00236669" w:rsidRDefault="00236669" w:rsidP="00236669">
      <w:r w:rsidRPr="00236669">
        <w:t>Parmi ses apports :</w:t>
      </w:r>
    </w:p>
    <w:p w14:paraId="2BB3827D" w14:textId="5B207C6B" w:rsidR="00236669" w:rsidRPr="00236669" w:rsidRDefault="00236669" w:rsidP="00236669">
      <w:pPr>
        <w:numPr>
          <w:ilvl w:val="0"/>
          <w:numId w:val="18"/>
        </w:numPr>
      </w:pPr>
      <w:r w:rsidRPr="00236669">
        <w:t>Evaluation balance risque/</w:t>
      </w:r>
      <w:r w:rsidR="00056CAB" w:rsidRPr="00236669">
        <w:t>bénéfice ;</w:t>
      </w:r>
    </w:p>
    <w:p w14:paraId="20A1BD91" w14:textId="77777777" w:rsidR="00236669" w:rsidRPr="00236669" w:rsidRDefault="00236669" w:rsidP="00236669">
      <w:pPr>
        <w:numPr>
          <w:ilvl w:val="0"/>
          <w:numId w:val="18"/>
        </w:numPr>
      </w:pPr>
      <w:r w:rsidRPr="00236669">
        <w:t>Procédure d’autorisation renforcée : régime de double autorisation CPP (Comité de Protection des Personne) et Autorité compétente (ANSM en France</w:t>
      </w:r>
      <w:proofErr w:type="gramStart"/>
      <w:r w:rsidRPr="00236669">
        <w:t>);</w:t>
      </w:r>
      <w:proofErr w:type="gramEnd"/>
    </w:p>
    <w:p w14:paraId="77F23A71" w14:textId="77777777" w:rsidR="00236669" w:rsidRPr="00236669" w:rsidRDefault="00236669" w:rsidP="00236669">
      <w:pPr>
        <w:numPr>
          <w:ilvl w:val="0"/>
          <w:numId w:val="18"/>
        </w:numPr>
      </w:pPr>
      <w:r w:rsidRPr="00236669">
        <w:t>Procédure allégée pour les recherches sans risques (portant sur les soins courants</w:t>
      </w:r>
      <w:proofErr w:type="gramStart"/>
      <w:r w:rsidRPr="00236669">
        <w:t>);</w:t>
      </w:r>
      <w:proofErr w:type="gramEnd"/>
    </w:p>
    <w:p w14:paraId="22B8E7EE" w14:textId="3A4CB39C" w:rsidR="00236669" w:rsidRPr="00236669" w:rsidRDefault="00236669" w:rsidP="00236669">
      <w:pPr>
        <w:numPr>
          <w:ilvl w:val="0"/>
          <w:numId w:val="18"/>
        </w:numPr>
      </w:pPr>
      <w:r w:rsidRPr="00236669">
        <w:t xml:space="preserve">Pharmacovigilance : Les évènements indésirables graves EIG inattendus doivent être déclarés immédiatement. Un rapport annuel (de sécurité) doit être établi concernant Les EIG </w:t>
      </w:r>
      <w:r w:rsidR="008D3658" w:rsidRPr="00236669">
        <w:t>attendus ;</w:t>
      </w:r>
    </w:p>
    <w:p w14:paraId="30A85EFD" w14:textId="4E285B34" w:rsidR="00236669" w:rsidRPr="00056CAB" w:rsidRDefault="00236669" w:rsidP="00E04057">
      <w:pPr>
        <w:numPr>
          <w:ilvl w:val="0"/>
          <w:numId w:val="18"/>
        </w:numPr>
      </w:pPr>
      <w:r w:rsidRPr="00236669">
        <w:t>Inscription obligatoire des participants à la recherche dans un registre national de volontaires sains.</w:t>
      </w:r>
    </w:p>
    <w:p w14:paraId="4E53CB49" w14:textId="31C5ECC6" w:rsidR="00056CAB" w:rsidRPr="00056CAB" w:rsidRDefault="008D3658" w:rsidP="00056CAB">
      <w:r w:rsidRPr="00056CAB">
        <w:t>2004 :</w:t>
      </w:r>
      <w:r w:rsidR="00056CAB" w:rsidRPr="00056CAB">
        <w:t xml:space="preserve"> Transposition de la directive dans la Loi française : Loi de Santé Publique</w:t>
      </w:r>
    </w:p>
    <w:p w14:paraId="7FAA91AC" w14:textId="127D69BC" w:rsidR="00056CAB" w:rsidRPr="00056CAB" w:rsidRDefault="00056CAB" w:rsidP="00056CAB">
      <w:pPr>
        <w:numPr>
          <w:ilvl w:val="0"/>
          <w:numId w:val="19"/>
        </w:numPr>
      </w:pPr>
      <w:r w:rsidRPr="00056CAB">
        <w:t>Les Comités de Protection des Personnes deviennent obligatoires (et non plus « consultatifs »</w:t>
      </w:r>
      <w:r w:rsidR="008D3658" w:rsidRPr="00056CAB">
        <w:t>) ;</w:t>
      </w:r>
    </w:p>
    <w:p w14:paraId="4DA371BD" w14:textId="77777777" w:rsidR="00056CAB" w:rsidRPr="00056CAB" w:rsidRDefault="00056CAB" w:rsidP="00056CAB">
      <w:pPr>
        <w:numPr>
          <w:ilvl w:val="0"/>
          <w:numId w:val="19"/>
        </w:numPr>
      </w:pPr>
      <w:r w:rsidRPr="00056CAB">
        <w:t xml:space="preserve">L’AFSSAPS/ANSM </w:t>
      </w:r>
      <w:proofErr w:type="gramStart"/>
      <w:r w:rsidRPr="00056CAB">
        <w:t>a</w:t>
      </w:r>
      <w:proofErr w:type="gramEnd"/>
      <w:r w:rsidRPr="00056CAB">
        <w:t xml:space="preserve"> un rôle renforcé : donne l’autorisation des essais.</w:t>
      </w:r>
    </w:p>
    <w:p w14:paraId="124F3C0D" w14:textId="77777777" w:rsidR="00056CAB" w:rsidRPr="00056CAB" w:rsidRDefault="00056CAB" w:rsidP="00056CAB">
      <w:r w:rsidRPr="00056CAB">
        <w:t>2004 : Lois bioéthique et CNIL qui régissent les modalités d’utilisation du matériel d’origine humaine et de gestion des données individuelles.</w:t>
      </w:r>
    </w:p>
    <w:p w14:paraId="04BF70C7" w14:textId="77777777" w:rsidR="00056CAB" w:rsidRPr="00056CAB" w:rsidRDefault="00056CAB" w:rsidP="00056CAB">
      <w:r w:rsidRPr="00056CAB">
        <w:t>2012 : Loi Jardé n°2012-300 du 5 mars 2012 relative aux recherches impliquant la personne humaine.</w:t>
      </w:r>
    </w:p>
    <w:p w14:paraId="3F5642A8" w14:textId="53943EE7" w:rsidR="00056CAB" w:rsidRPr="00056CAB" w:rsidRDefault="00056CAB" w:rsidP="00056CAB">
      <w:r w:rsidRPr="00056CAB">
        <w:t xml:space="preserve">2014 : Règlement européen relatif aux essais cliniques de médicaments à usage humain et abrogeant la Directive 2001/20/CE. </w:t>
      </w:r>
    </w:p>
    <w:p w14:paraId="793DF8BC" w14:textId="77777777" w:rsidR="00056CAB" w:rsidRPr="00056CAB" w:rsidRDefault="00056CAB" w:rsidP="00056CAB"/>
    <w:p w14:paraId="130F39E1" w14:textId="12C63956" w:rsidR="00056CAB" w:rsidRPr="00056CAB" w:rsidRDefault="00056CAB" w:rsidP="00056CAB">
      <w:pPr>
        <w:pStyle w:val="Titre2"/>
        <w:numPr>
          <w:ilvl w:val="0"/>
          <w:numId w:val="14"/>
        </w:numPr>
      </w:pPr>
      <w:bookmarkStart w:id="10" w:name="_Toc118307106"/>
      <w:r w:rsidRPr="00056CAB">
        <w:t>Le cadre réglementaire Français</w:t>
      </w:r>
      <w:bookmarkEnd w:id="10"/>
    </w:p>
    <w:p w14:paraId="44815ABE" w14:textId="77777777" w:rsidR="00056CAB" w:rsidRPr="00056CAB" w:rsidRDefault="00056CAB" w:rsidP="00056CAB">
      <w:r w:rsidRPr="00056CAB">
        <w:rPr>
          <w:b/>
          <w:bCs/>
        </w:rPr>
        <w:lastRenderedPageBreak/>
        <w:t>La loi de santé publique du 09/08/2004</w:t>
      </w:r>
      <w:r w:rsidRPr="00056CAB">
        <w:t xml:space="preserve"> correspond à la traduction en droit Français de la directive européenne 2001/20/CE relative aux essais cliniques de médicaments et de ses lignes directrices. Elle révise la loi Huriet-</w:t>
      </w:r>
      <w:proofErr w:type="spellStart"/>
      <w:r w:rsidRPr="00056CAB">
        <w:t>Sérusclat</w:t>
      </w:r>
      <w:proofErr w:type="spellEnd"/>
      <w:r w:rsidRPr="00056CAB">
        <w:t xml:space="preserve"> de 1988 du code de la Santé Publique. Ce nouveau dispositif est entré en vigueur le 27 août 2006. Cette loi définit la « recherche biomédicale » comme « les recherches organisées et pratiquées sur l’être humain en vue du développement des connaissances biologiques et médicales » (article L.1121-1). La loi s’applique à toutes les recherches dites « interventionnelles » alors que les recherches « non interventionnelles » ne rentrent pas dans le cadre de la loi.</w:t>
      </w:r>
    </w:p>
    <w:p w14:paraId="31831366" w14:textId="77777777" w:rsidR="00056CAB" w:rsidRPr="00056CAB" w:rsidRDefault="00056CAB" w:rsidP="00056CAB">
      <w:r w:rsidRPr="00056CAB">
        <w:rPr>
          <w:b/>
          <w:bCs/>
        </w:rPr>
        <w:t>La loi Jardé</w:t>
      </w:r>
      <w:r w:rsidRPr="00056CAB">
        <w:t xml:space="preserve"> a été adoptée il y quelques années, mais son décret d'application n'est paru que le 17 novembre 2016. Elle est donc entrée en vigueur à partir de cette date.</w:t>
      </w:r>
    </w:p>
    <w:p w14:paraId="0C8C0ADF" w14:textId="77777777" w:rsidR="00056CAB" w:rsidRPr="00056CAB" w:rsidRDefault="00056CAB" w:rsidP="00056CAB">
      <w:r w:rsidRPr="00056CAB">
        <w:t>Parmi les nouveautés de cette loi Jardé, on peut noter la distinction de 3 types de recherche : recherche interventionnelle, recherche interventionnelle à risques et contraintes minimes (nouveau type de recherche) et recherche non interventionnelle ; ainsi que le renforcement du rôle des CPP.</w:t>
      </w:r>
    </w:p>
    <w:p w14:paraId="274CD1A2" w14:textId="77777777" w:rsidR="00236669" w:rsidRPr="00E04057" w:rsidRDefault="00236669" w:rsidP="00056CAB">
      <w:pPr>
        <w:pStyle w:val="Titre2"/>
        <w:ind w:left="720"/>
      </w:pPr>
    </w:p>
    <w:p w14:paraId="26A28C1A" w14:textId="5F9664F8" w:rsidR="00E04057" w:rsidRDefault="00E04057" w:rsidP="00056CAB">
      <w:pPr>
        <w:pStyle w:val="Titre2"/>
        <w:numPr>
          <w:ilvl w:val="0"/>
          <w:numId w:val="14"/>
        </w:numPr>
      </w:pPr>
      <w:bookmarkStart w:id="11" w:name="_Toc118307107"/>
      <w:r w:rsidRPr="00E04057">
        <w:t>Les Bonnes Pratiques Cliniques (BPC)</w:t>
      </w:r>
      <w:bookmarkEnd w:id="11"/>
    </w:p>
    <w:p w14:paraId="100B5482" w14:textId="77777777" w:rsidR="00056CAB" w:rsidRPr="00056CAB" w:rsidRDefault="00056CAB" w:rsidP="00056CAB">
      <w:r w:rsidRPr="00056CAB">
        <w:t xml:space="preserve">C’est un ensemble d’exigences de qualité dans les domaines éthique et scientifique, reconnues </w:t>
      </w:r>
      <w:proofErr w:type="gramStart"/>
      <w:r w:rsidRPr="00056CAB">
        <w:t>au</w:t>
      </w:r>
      <w:proofErr w:type="gramEnd"/>
      <w:r w:rsidRPr="00056CAB">
        <w:t xml:space="preserve"> plan international, devant être respectées lors de la planification, la mise en </w:t>
      </w:r>
      <w:proofErr w:type="spellStart"/>
      <w:r w:rsidRPr="00056CAB">
        <w:t>oeuvre</w:t>
      </w:r>
      <w:proofErr w:type="spellEnd"/>
      <w:r w:rsidRPr="00056CAB">
        <w:t>, la conduite, le suivi, le contrôle de qualité, l’audit, le recueil des données, l’analyse et l’expression des résultats des recherches biomédicales.</w:t>
      </w:r>
    </w:p>
    <w:p w14:paraId="1DB5C643" w14:textId="77777777" w:rsidR="00056CAB" w:rsidRPr="00056CAB" w:rsidRDefault="00056CAB" w:rsidP="00056CAB">
      <w:r w:rsidRPr="00056CAB">
        <w:t>Objectifs :</w:t>
      </w:r>
    </w:p>
    <w:p w14:paraId="6183B34F" w14:textId="1043A3EF" w:rsidR="00056CAB" w:rsidRPr="00056CAB" w:rsidRDefault="00056CAB" w:rsidP="00056CAB">
      <w:pPr>
        <w:numPr>
          <w:ilvl w:val="0"/>
          <w:numId w:val="20"/>
        </w:numPr>
      </w:pPr>
      <w:r w:rsidRPr="00056CAB">
        <w:t xml:space="preserve">Protection des droits à la sécurité et à la protection des personnes se prêtant à ces </w:t>
      </w:r>
      <w:r w:rsidR="008D3658" w:rsidRPr="00056CAB">
        <w:t>recherches ;</w:t>
      </w:r>
    </w:p>
    <w:p w14:paraId="1482B5AB" w14:textId="77777777" w:rsidR="00056CAB" w:rsidRPr="00056CAB" w:rsidRDefault="00056CAB" w:rsidP="00056CAB">
      <w:pPr>
        <w:numPr>
          <w:ilvl w:val="0"/>
          <w:numId w:val="20"/>
        </w:numPr>
      </w:pPr>
      <w:r w:rsidRPr="00056CAB">
        <w:t>Crédibilité et confidentialité des données et des résultats des recherches.</w:t>
      </w:r>
    </w:p>
    <w:p w14:paraId="75801E09" w14:textId="77777777" w:rsidR="00056CAB" w:rsidRPr="00056CAB" w:rsidRDefault="00056CAB" w:rsidP="00056CAB">
      <w:r w:rsidRPr="00056CAB">
        <w:t>Le respect de ces recommandations est une responsabilité partagée par :</w:t>
      </w:r>
    </w:p>
    <w:p w14:paraId="4F0D32F5" w14:textId="2ED4FB41" w:rsidR="00056CAB" w:rsidRPr="00056CAB" w:rsidRDefault="00056CAB" w:rsidP="00056CAB">
      <w:pPr>
        <w:numPr>
          <w:ilvl w:val="0"/>
          <w:numId w:val="21"/>
        </w:numPr>
      </w:pPr>
      <w:r w:rsidRPr="00056CAB">
        <w:t xml:space="preserve">Le </w:t>
      </w:r>
      <w:r w:rsidRPr="00056CAB">
        <w:t>promoteur ;</w:t>
      </w:r>
      <w:r w:rsidRPr="00056CAB">
        <w:t xml:space="preserve"> </w:t>
      </w:r>
    </w:p>
    <w:p w14:paraId="4868CC3A" w14:textId="625AC22B" w:rsidR="00056CAB" w:rsidRPr="00056CAB" w:rsidRDefault="00056CAB" w:rsidP="00056CAB">
      <w:pPr>
        <w:numPr>
          <w:ilvl w:val="0"/>
          <w:numId w:val="21"/>
        </w:numPr>
      </w:pPr>
      <w:r w:rsidRPr="00056CAB">
        <w:t>Le moniteur (l'attaché de recherche clinique</w:t>
      </w:r>
      <w:r w:rsidR="008D3658" w:rsidRPr="00056CAB">
        <w:t>) ;</w:t>
      </w:r>
      <w:r w:rsidRPr="00056CAB">
        <w:t xml:space="preserve"> </w:t>
      </w:r>
    </w:p>
    <w:p w14:paraId="776FA422" w14:textId="77777777" w:rsidR="00056CAB" w:rsidRPr="00056CAB" w:rsidRDefault="00056CAB" w:rsidP="00056CAB">
      <w:pPr>
        <w:numPr>
          <w:ilvl w:val="0"/>
          <w:numId w:val="21"/>
        </w:numPr>
      </w:pPr>
      <w:r w:rsidRPr="00056CAB">
        <w:t>Le médecin investigateur.</w:t>
      </w:r>
    </w:p>
    <w:p w14:paraId="10F8AF1B" w14:textId="5BB71CEC" w:rsidR="00056CAB" w:rsidRPr="00056CAB" w:rsidRDefault="00056CAB" w:rsidP="00056CAB">
      <w:r w:rsidRPr="00056CAB">
        <w:t xml:space="preserve">Les Bonnes Pratiques Cliniques = un cadre général qui </w:t>
      </w:r>
      <w:r w:rsidRPr="00056CAB">
        <w:t>définit</w:t>
      </w:r>
      <w:r w:rsidRPr="00056CAB">
        <w:t xml:space="preserve"> :</w:t>
      </w:r>
    </w:p>
    <w:p w14:paraId="2F6250F0" w14:textId="68F6C416" w:rsidR="00056CAB" w:rsidRPr="00056CAB" w:rsidRDefault="00056CAB" w:rsidP="00056CAB">
      <w:pPr>
        <w:numPr>
          <w:ilvl w:val="0"/>
          <w:numId w:val="22"/>
        </w:numPr>
      </w:pPr>
      <w:r w:rsidRPr="00056CAB">
        <w:t xml:space="preserve">Le rôle du comité </w:t>
      </w:r>
      <w:r w:rsidRPr="00056CAB">
        <w:t>d’éthique ;</w:t>
      </w:r>
    </w:p>
    <w:p w14:paraId="69C7CE84" w14:textId="496B4AA3" w:rsidR="00056CAB" w:rsidRPr="00056CAB" w:rsidRDefault="00056CAB" w:rsidP="00056CAB">
      <w:pPr>
        <w:numPr>
          <w:ilvl w:val="0"/>
          <w:numId w:val="22"/>
        </w:numPr>
      </w:pPr>
      <w:r w:rsidRPr="00056CAB">
        <w:t xml:space="preserve">Les modalités de recueil du Consentement </w:t>
      </w:r>
      <w:r w:rsidRPr="00056CAB">
        <w:t>éclairé ;</w:t>
      </w:r>
    </w:p>
    <w:p w14:paraId="314A9B29" w14:textId="0AEF732B" w:rsidR="00056CAB" w:rsidRPr="00056CAB" w:rsidRDefault="00056CAB" w:rsidP="00056CAB">
      <w:pPr>
        <w:numPr>
          <w:ilvl w:val="0"/>
          <w:numId w:val="22"/>
        </w:numPr>
      </w:pPr>
      <w:r w:rsidRPr="00056CAB">
        <w:t xml:space="preserve">Le rôle du </w:t>
      </w:r>
      <w:r w:rsidRPr="00056CAB">
        <w:t>Promoteur ;</w:t>
      </w:r>
    </w:p>
    <w:p w14:paraId="162F3B61" w14:textId="7C210DB1" w:rsidR="00056CAB" w:rsidRPr="00056CAB" w:rsidRDefault="00056CAB" w:rsidP="00056CAB">
      <w:pPr>
        <w:numPr>
          <w:ilvl w:val="0"/>
          <w:numId w:val="22"/>
        </w:numPr>
      </w:pPr>
      <w:r w:rsidRPr="00056CAB">
        <w:t xml:space="preserve">Le rôle de </w:t>
      </w:r>
      <w:r w:rsidRPr="00056CAB">
        <w:t>l’investigateur ;</w:t>
      </w:r>
    </w:p>
    <w:p w14:paraId="2D05B6A8" w14:textId="156E1EF4" w:rsidR="00056CAB" w:rsidRPr="00056CAB" w:rsidRDefault="00056CAB" w:rsidP="00056CAB">
      <w:pPr>
        <w:numPr>
          <w:ilvl w:val="0"/>
          <w:numId w:val="22"/>
        </w:numPr>
      </w:pPr>
      <w:r w:rsidRPr="00056CAB">
        <w:t>Le rôle du moniteur (ARC</w:t>
      </w:r>
      <w:r w:rsidRPr="00056CAB">
        <w:t>) ;</w:t>
      </w:r>
    </w:p>
    <w:p w14:paraId="4F3D0A45" w14:textId="537E6496" w:rsidR="00056CAB" w:rsidRPr="00056CAB" w:rsidRDefault="00056CAB" w:rsidP="00056CAB">
      <w:pPr>
        <w:numPr>
          <w:ilvl w:val="0"/>
          <w:numId w:val="22"/>
        </w:numPr>
      </w:pPr>
      <w:r w:rsidRPr="00056CAB">
        <w:t xml:space="preserve">Le recueil et la gestion des </w:t>
      </w:r>
      <w:r w:rsidRPr="00056CAB">
        <w:t>données ;</w:t>
      </w:r>
    </w:p>
    <w:p w14:paraId="73BFDE97" w14:textId="649167CE" w:rsidR="00056CAB" w:rsidRPr="00056CAB" w:rsidRDefault="00056CAB" w:rsidP="00056CAB">
      <w:pPr>
        <w:numPr>
          <w:ilvl w:val="0"/>
          <w:numId w:val="22"/>
        </w:numPr>
      </w:pPr>
      <w:r w:rsidRPr="00056CAB">
        <w:t>L’archivage ;</w:t>
      </w:r>
    </w:p>
    <w:p w14:paraId="22CB4BC8" w14:textId="2F6D5707" w:rsidR="00056CAB" w:rsidRPr="00056CAB" w:rsidRDefault="00056CAB" w:rsidP="00056CAB">
      <w:pPr>
        <w:numPr>
          <w:ilvl w:val="0"/>
          <w:numId w:val="22"/>
        </w:numPr>
      </w:pPr>
      <w:r w:rsidRPr="00056CAB">
        <w:t xml:space="preserve">L’audit et </w:t>
      </w:r>
      <w:r w:rsidRPr="00056CAB">
        <w:t>Inspection ;</w:t>
      </w:r>
    </w:p>
    <w:p w14:paraId="6C26F41F" w14:textId="77777777" w:rsidR="00056CAB" w:rsidRPr="00056CAB" w:rsidRDefault="00056CAB" w:rsidP="00056CAB">
      <w:pPr>
        <w:numPr>
          <w:ilvl w:val="0"/>
          <w:numId w:val="22"/>
        </w:numPr>
      </w:pPr>
      <w:r w:rsidRPr="00056CAB">
        <w:t>L’assurance qualité.</w:t>
      </w:r>
    </w:p>
    <w:p w14:paraId="71332896" w14:textId="77777777" w:rsidR="00056CAB" w:rsidRPr="00E04057" w:rsidRDefault="00056CAB" w:rsidP="00056CAB"/>
    <w:p w14:paraId="13E36636" w14:textId="44468DE4" w:rsidR="00056CAB" w:rsidRPr="00056CAB" w:rsidRDefault="00E04057" w:rsidP="00056CAB">
      <w:pPr>
        <w:pStyle w:val="Titre2"/>
        <w:numPr>
          <w:ilvl w:val="0"/>
          <w:numId w:val="14"/>
        </w:numPr>
      </w:pPr>
      <w:bookmarkStart w:id="12" w:name="_Toc118307108"/>
      <w:r w:rsidRPr="00E04057">
        <w:t xml:space="preserve">Autres lois /dispositifs dans la recherche en </w:t>
      </w:r>
      <w:r w:rsidR="00056CAB">
        <w:t>France</w:t>
      </w:r>
      <w:bookmarkEnd w:id="12"/>
    </w:p>
    <w:p w14:paraId="51F3E6BC" w14:textId="77777777" w:rsidR="00056CAB" w:rsidRPr="00056CAB" w:rsidRDefault="00056CAB" w:rsidP="00056CAB">
      <w:r w:rsidRPr="00056CAB">
        <w:t>CNIL : Commission Nationale de l’Informatique et des Libertés : C’est une institution indépendante chargée de veiller au respect de l'identité humaine, de la vie privée et des libertés dans le monde numérique.</w:t>
      </w:r>
    </w:p>
    <w:p w14:paraId="14E7A6DF" w14:textId="77777777" w:rsidR="00056CAB" w:rsidRPr="00056CAB" w:rsidRDefault="00056CAB" w:rsidP="00056CAB">
      <w:r w:rsidRPr="00056CAB">
        <w:t xml:space="preserve">Elle a pour mission : </w:t>
      </w:r>
    </w:p>
    <w:p w14:paraId="15F9740F" w14:textId="208219F3" w:rsidR="00056CAB" w:rsidRPr="00056CAB" w:rsidRDefault="00056CAB" w:rsidP="00056CAB">
      <w:pPr>
        <w:numPr>
          <w:ilvl w:val="0"/>
          <w:numId w:val="23"/>
        </w:numPr>
      </w:pPr>
      <w:r w:rsidRPr="00056CAB">
        <w:t xml:space="preserve">Recenser les </w:t>
      </w:r>
      <w:r w:rsidRPr="00056CAB">
        <w:t>fichiers ;</w:t>
      </w:r>
      <w:r w:rsidRPr="00056CAB">
        <w:t xml:space="preserve"> </w:t>
      </w:r>
    </w:p>
    <w:p w14:paraId="1DE61C06" w14:textId="1A2E0651" w:rsidR="00056CAB" w:rsidRPr="00056CAB" w:rsidRDefault="00056CAB" w:rsidP="00056CAB">
      <w:pPr>
        <w:numPr>
          <w:ilvl w:val="0"/>
          <w:numId w:val="23"/>
        </w:numPr>
      </w:pPr>
      <w:r w:rsidRPr="00056CAB">
        <w:t xml:space="preserve">Contrôler les </w:t>
      </w:r>
      <w:r w:rsidRPr="00056CAB">
        <w:t>informations ;</w:t>
      </w:r>
      <w:r w:rsidRPr="00056CAB">
        <w:t xml:space="preserve"> </w:t>
      </w:r>
    </w:p>
    <w:p w14:paraId="1FCDCAFA" w14:textId="09EB2B4F" w:rsidR="00056CAB" w:rsidRPr="00056CAB" w:rsidRDefault="00056CAB" w:rsidP="00056CAB">
      <w:pPr>
        <w:numPr>
          <w:ilvl w:val="0"/>
          <w:numId w:val="23"/>
        </w:numPr>
      </w:pPr>
      <w:r w:rsidRPr="00056CAB">
        <w:t xml:space="preserve">Garantir le droit d’accès et de </w:t>
      </w:r>
      <w:r w:rsidRPr="00056CAB">
        <w:t>rectification ;</w:t>
      </w:r>
      <w:r w:rsidRPr="00056CAB">
        <w:t xml:space="preserve"> </w:t>
      </w:r>
    </w:p>
    <w:p w14:paraId="34F0A686" w14:textId="77777777" w:rsidR="00056CAB" w:rsidRPr="00056CAB" w:rsidRDefault="00056CAB" w:rsidP="00056CAB">
      <w:pPr>
        <w:numPr>
          <w:ilvl w:val="0"/>
          <w:numId w:val="23"/>
        </w:numPr>
      </w:pPr>
      <w:r w:rsidRPr="00056CAB">
        <w:t>Instruire les plaintes,</w:t>
      </w:r>
    </w:p>
    <w:p w14:paraId="0F312405" w14:textId="77777777" w:rsidR="00056CAB" w:rsidRPr="00056CAB" w:rsidRDefault="00056CAB" w:rsidP="00056CAB">
      <w:r w:rsidRPr="00056CAB">
        <w:t>La CNIL veille à ce que les traitements des données informatisées recueillies pendant les études soient effectués conformément à la loi. A cet effet, des missions de vérification peuvent être organisées</w:t>
      </w:r>
    </w:p>
    <w:p w14:paraId="6B3F9647" w14:textId="77777777" w:rsidR="00056CAB" w:rsidRPr="00056CAB" w:rsidRDefault="00056CAB" w:rsidP="00056CAB">
      <w:hyperlink r:id="rId6" w:history="1">
        <w:r w:rsidRPr="00056CAB">
          <w:rPr>
            <w:rStyle w:val="Lienhypertexte"/>
            <w:color w:val="auto"/>
            <w:u w:val="none"/>
          </w:rPr>
          <w:t>Règlement</w:t>
        </w:r>
      </w:hyperlink>
      <w:hyperlink r:id="rId7" w:history="1">
        <w:r w:rsidRPr="00056CAB">
          <w:rPr>
            <w:rStyle w:val="Lienhypertexte"/>
            <w:color w:val="auto"/>
            <w:u w:val="none"/>
          </w:rPr>
          <w:t xml:space="preserve"> </w:t>
        </w:r>
      </w:hyperlink>
      <w:hyperlink r:id="rId8" w:history="1">
        <w:r w:rsidRPr="00056CAB">
          <w:rPr>
            <w:rStyle w:val="Lienhypertexte"/>
            <w:color w:val="auto"/>
            <w:u w:val="none"/>
          </w:rPr>
          <w:t>Général</w:t>
        </w:r>
      </w:hyperlink>
      <w:hyperlink r:id="rId9" w:history="1">
        <w:r w:rsidRPr="00056CAB">
          <w:rPr>
            <w:rStyle w:val="Lienhypertexte"/>
            <w:color w:val="auto"/>
            <w:u w:val="none"/>
          </w:rPr>
          <w:t xml:space="preserve"> sur la Protection des </w:t>
        </w:r>
      </w:hyperlink>
      <w:hyperlink r:id="rId10" w:history="1">
        <w:r w:rsidRPr="00056CAB">
          <w:rPr>
            <w:rStyle w:val="Lienhypertexte"/>
            <w:color w:val="auto"/>
            <w:u w:val="none"/>
          </w:rPr>
          <w:t>Données</w:t>
        </w:r>
      </w:hyperlink>
      <w:r w:rsidRPr="00056CAB">
        <w:t xml:space="preserve"> ou RGPD : Entré en vigueur le 25 mai 2018. </w:t>
      </w:r>
    </w:p>
    <w:p w14:paraId="0175000F" w14:textId="77777777" w:rsidR="00056CAB" w:rsidRPr="00056CAB" w:rsidRDefault="00056CAB" w:rsidP="00056CAB">
      <w:r w:rsidRPr="00056CAB">
        <w:t>Il encadre le traitement des données personnelles sur le territoire de l’Union européenne.</w:t>
      </w:r>
    </w:p>
    <w:p w14:paraId="008FE00C" w14:textId="77777777" w:rsidR="00056CAB" w:rsidRPr="00056CAB" w:rsidRDefault="00056CAB" w:rsidP="00056CAB">
      <w:r w:rsidRPr="00056CAB">
        <w:t>Le contexte juridique s’adapte pour suivre les évolutions des technologies et de nos sociétés (usages accrus du numérique…).</w:t>
      </w:r>
    </w:p>
    <w:p w14:paraId="2A92E05D" w14:textId="77777777" w:rsidR="00056CAB" w:rsidRPr="00056CAB" w:rsidRDefault="00056CAB" w:rsidP="00056CAB">
      <w:r w:rsidRPr="00056CAB">
        <w:t>Ce nouveau règlement européen s’inscrit dans la continuité de la Loi Française Informatique et Libertés de 1978 et renforce le contrôle par les citoyens de l’utilisation qui peut être faite des données les concernant.</w:t>
      </w:r>
    </w:p>
    <w:p w14:paraId="29C2C3CE" w14:textId="5CCD0965" w:rsidR="00056CAB" w:rsidRDefault="00056CAB" w:rsidP="00056CAB">
      <w:r w:rsidRPr="00056CAB">
        <w:t>Il harmonise les règles en Europe en offrant un cadre juridique unique aux professionnels.</w:t>
      </w:r>
    </w:p>
    <w:p w14:paraId="04DC5852" w14:textId="77777777" w:rsidR="00056CAB" w:rsidRPr="00E04057" w:rsidRDefault="00056CAB" w:rsidP="00056CAB"/>
    <w:p w14:paraId="2B84AB5F" w14:textId="02938323" w:rsidR="00A17A6C" w:rsidRPr="00E04057" w:rsidRDefault="00E04057" w:rsidP="00A17A6C">
      <w:pPr>
        <w:pStyle w:val="Titre1"/>
        <w:numPr>
          <w:ilvl w:val="0"/>
          <w:numId w:val="1"/>
        </w:numPr>
      </w:pPr>
      <w:bookmarkStart w:id="13" w:name="_Toc118307109"/>
      <w:r w:rsidRPr="00E04057">
        <w:t>Aspects éthiques de la recherche clinique</w:t>
      </w:r>
      <w:bookmarkEnd w:id="13"/>
      <w:r w:rsidRPr="00E04057">
        <w:t xml:space="preserve"> </w:t>
      </w:r>
    </w:p>
    <w:p w14:paraId="2B73714F" w14:textId="2AD6894E" w:rsidR="00A17A6C" w:rsidRPr="008D3658" w:rsidRDefault="00E04057" w:rsidP="00E04057">
      <w:pPr>
        <w:pStyle w:val="Titre2"/>
        <w:numPr>
          <w:ilvl w:val="0"/>
          <w:numId w:val="24"/>
        </w:numPr>
      </w:pPr>
      <w:r w:rsidRPr="00E04057">
        <w:t xml:space="preserve"> </w:t>
      </w:r>
      <w:bookmarkStart w:id="14" w:name="_Toc118307110"/>
      <w:r w:rsidRPr="00E04057">
        <w:t>La Protection des personnes se prêtant à la recherche clinique</w:t>
      </w:r>
      <w:bookmarkEnd w:id="14"/>
    </w:p>
    <w:p w14:paraId="5C15C762" w14:textId="77777777" w:rsidR="00A17A6C" w:rsidRPr="00A17A6C" w:rsidRDefault="00A17A6C" w:rsidP="00A17A6C">
      <w:r w:rsidRPr="00A17A6C">
        <w:t xml:space="preserve">De quelle protection bénéficie le patient dans un essai clinique ? </w:t>
      </w:r>
    </w:p>
    <w:p w14:paraId="4A8EDE2E" w14:textId="4E90C641" w:rsidR="00A17A6C" w:rsidRPr="00A17A6C" w:rsidRDefault="00A17A6C" w:rsidP="00A17A6C">
      <w:r w:rsidRPr="00A17A6C">
        <w:t xml:space="preserve">- Bonnes Pratiques </w:t>
      </w:r>
      <w:r w:rsidRPr="00A17A6C">
        <w:t>Cliniques ;</w:t>
      </w:r>
      <w:r w:rsidRPr="00A17A6C">
        <w:t xml:space="preserve"> </w:t>
      </w:r>
    </w:p>
    <w:p w14:paraId="65EE73E9" w14:textId="5BBD4CC2" w:rsidR="00A17A6C" w:rsidRPr="00A17A6C" w:rsidRDefault="00A17A6C" w:rsidP="00A17A6C">
      <w:r w:rsidRPr="00A17A6C">
        <w:t xml:space="preserve">- Législation nationale et </w:t>
      </w:r>
      <w:r w:rsidRPr="00A17A6C">
        <w:t>internationale ;</w:t>
      </w:r>
      <w:r w:rsidRPr="00A17A6C">
        <w:t xml:space="preserve"> </w:t>
      </w:r>
    </w:p>
    <w:p w14:paraId="07E18C63" w14:textId="0D367781" w:rsidR="00A17A6C" w:rsidRPr="00A17A6C" w:rsidRDefault="00A17A6C" w:rsidP="00A17A6C">
      <w:r w:rsidRPr="00A17A6C">
        <w:t xml:space="preserve">- Consentement éclairé </w:t>
      </w:r>
      <w:r w:rsidRPr="00A17A6C">
        <w:t>signé ;</w:t>
      </w:r>
      <w:r w:rsidRPr="00A17A6C">
        <w:t xml:space="preserve"> </w:t>
      </w:r>
    </w:p>
    <w:p w14:paraId="72D3642A" w14:textId="476DA036" w:rsidR="00A17A6C" w:rsidRPr="00A17A6C" w:rsidRDefault="00A17A6C" w:rsidP="00A17A6C">
      <w:r w:rsidRPr="00A17A6C">
        <w:t xml:space="preserve">- Comité </w:t>
      </w:r>
      <w:r w:rsidRPr="00A17A6C">
        <w:t>d’éthique ;</w:t>
      </w:r>
      <w:r w:rsidRPr="00A17A6C">
        <w:t xml:space="preserve"> </w:t>
      </w:r>
    </w:p>
    <w:p w14:paraId="32B693EC" w14:textId="77777777" w:rsidR="00A17A6C" w:rsidRPr="00A17A6C" w:rsidRDefault="00A17A6C" w:rsidP="00A17A6C">
      <w:r w:rsidRPr="00A17A6C">
        <w:t>- Déontologie.</w:t>
      </w:r>
    </w:p>
    <w:p w14:paraId="21559788" w14:textId="77777777" w:rsidR="00A17A6C" w:rsidRPr="00A17A6C" w:rsidRDefault="00A17A6C" w:rsidP="00A17A6C">
      <w:r w:rsidRPr="00A17A6C">
        <w:t xml:space="preserve">La loi protège les sujets qui participent aux études cliniques en leur donnant plusieurs droits : </w:t>
      </w:r>
    </w:p>
    <w:p w14:paraId="6BA30B3A" w14:textId="6B74C3FC" w:rsidR="00A17A6C" w:rsidRPr="00A17A6C" w:rsidRDefault="00A17A6C" w:rsidP="00A17A6C">
      <w:r w:rsidRPr="00A17A6C">
        <w:lastRenderedPageBreak/>
        <w:t xml:space="preserve">- D’être informés de façon loyale et complète. Le consentement est donné par écrit, ou en cas d’impossibilité attesté par un tiers totalement indépendant de l’investigateur et du </w:t>
      </w:r>
      <w:r w:rsidR="008D3658" w:rsidRPr="00A17A6C">
        <w:t>promoteur ;</w:t>
      </w:r>
    </w:p>
    <w:p w14:paraId="68F2B391" w14:textId="0C38934C" w:rsidR="00A17A6C" w:rsidRPr="00A17A6C" w:rsidRDefault="00A17A6C" w:rsidP="00A17A6C">
      <w:r w:rsidRPr="00A17A6C">
        <w:t xml:space="preserve">- D’avoir la possibilité de refuser de participer à une recherche ou d’interrompre leur participation en cours de </w:t>
      </w:r>
      <w:r w:rsidR="008D3658" w:rsidRPr="00A17A6C">
        <w:t>recherche ;</w:t>
      </w:r>
    </w:p>
    <w:p w14:paraId="41DFB97D" w14:textId="5A155256" w:rsidR="00A17A6C" w:rsidRPr="00A17A6C" w:rsidRDefault="00A17A6C" w:rsidP="00A17A6C">
      <w:r w:rsidRPr="00A17A6C">
        <w:t xml:space="preserve">- De connaître, au cours ou à l’issue de la recherche, les informations concernant leur </w:t>
      </w:r>
      <w:r w:rsidR="008D3658" w:rsidRPr="00A17A6C">
        <w:t>santé ;</w:t>
      </w:r>
      <w:r w:rsidRPr="00A17A6C">
        <w:t xml:space="preserve"> </w:t>
      </w:r>
    </w:p>
    <w:p w14:paraId="3EDBB4E5" w14:textId="0D1CA51E" w:rsidR="00A17A6C" w:rsidRPr="00A17A6C" w:rsidRDefault="00A17A6C" w:rsidP="00A17A6C">
      <w:r w:rsidRPr="00A17A6C">
        <w:t xml:space="preserve">- D’être informés des résultats de la recherche après qu’elle </w:t>
      </w:r>
      <w:r w:rsidR="008D3658" w:rsidRPr="00A17A6C">
        <w:t>est</w:t>
      </w:r>
      <w:r w:rsidRPr="00A17A6C">
        <w:t xml:space="preserve"> </w:t>
      </w:r>
      <w:r w:rsidR="008D3658" w:rsidRPr="00A17A6C">
        <w:t>terminée ;</w:t>
      </w:r>
    </w:p>
    <w:p w14:paraId="0DB78FC8" w14:textId="77777777" w:rsidR="00A17A6C" w:rsidRPr="00A17A6C" w:rsidRDefault="00A17A6C" w:rsidP="00A17A6C">
      <w:r w:rsidRPr="00A17A6C">
        <w:t>- Droit d’opposition à la transmission des données couvertes par le secret professionnel susceptibles d’être utilisées dans le cadre de la recherche et d’être analysées. Droit d’accès (possibilité de consulter ses données) et de rectification (possibilité de faire modifier ses données</w:t>
      </w:r>
      <w:proofErr w:type="gramStart"/>
      <w:r w:rsidRPr="00A17A6C">
        <w:t>);</w:t>
      </w:r>
      <w:proofErr w:type="gramEnd"/>
      <w:r w:rsidRPr="00A17A6C">
        <w:t xml:space="preserve"> </w:t>
      </w:r>
    </w:p>
    <w:p w14:paraId="5613B649" w14:textId="77777777" w:rsidR="00A17A6C" w:rsidRPr="00A17A6C" w:rsidRDefault="00A17A6C" w:rsidP="00A17A6C">
      <w:r w:rsidRPr="00A17A6C">
        <w:t xml:space="preserve">Cas particuliers : Certaines personnes, plus fragiles que d’autres, bénéficient d’une protection renforcée : </w:t>
      </w:r>
    </w:p>
    <w:p w14:paraId="4D44E510" w14:textId="77777777" w:rsidR="00A17A6C" w:rsidRPr="00A17A6C" w:rsidRDefault="00A17A6C" w:rsidP="00A17A6C">
      <w:r w:rsidRPr="00A17A6C">
        <w:t>- Les personnes protégées par la loi : les enfants, et certains adultes qui, du fait de difficultés mentales ou physiques, ne peuvent exercer eux-mêmes leurs droits en totalité.</w:t>
      </w:r>
    </w:p>
    <w:p w14:paraId="671468C8" w14:textId="77777777" w:rsidR="00A17A6C" w:rsidRPr="00A17A6C" w:rsidRDefault="00A17A6C" w:rsidP="00A17A6C">
      <w:r w:rsidRPr="00A17A6C">
        <w:t xml:space="preserve">- Les personnes vulnérables qui du fait d’un état transitoire particulier nécessitent une protection adaptée : femmes enceintes, et femmes qui allaitent, personnes privées de leur liberté (emprisonnées), personnes hors d’état d’exprimer leur consentement. </w:t>
      </w:r>
    </w:p>
    <w:p w14:paraId="6200AA05" w14:textId="77777777" w:rsidR="00E64863" w:rsidRPr="00E64863" w:rsidRDefault="00E64863" w:rsidP="00E64863">
      <w:r w:rsidRPr="00E64863">
        <w:t xml:space="preserve">La responsabilité de protéger les personnes se prêtant à la recherche clinique est partagée entre : </w:t>
      </w:r>
    </w:p>
    <w:p w14:paraId="4E877488" w14:textId="77777777" w:rsidR="00E64863" w:rsidRPr="00E64863" w:rsidRDefault="00E64863" w:rsidP="00E64863">
      <w:r w:rsidRPr="00E64863">
        <w:t xml:space="preserve">- Le Promoteur </w:t>
      </w:r>
    </w:p>
    <w:p w14:paraId="3D8E62C4" w14:textId="77777777" w:rsidR="00E64863" w:rsidRPr="00E64863" w:rsidRDefault="00E64863" w:rsidP="00E64863">
      <w:r w:rsidRPr="00E64863">
        <w:t xml:space="preserve">- L’investigateur et </w:t>
      </w:r>
    </w:p>
    <w:p w14:paraId="1A6FDF7C" w14:textId="77777777" w:rsidR="00E64863" w:rsidRPr="00E64863" w:rsidRDefault="00E64863" w:rsidP="00E64863">
      <w:r w:rsidRPr="00E64863">
        <w:t>- Le comité d’éthique qui apporte des garanties indépendantes au patient.</w:t>
      </w:r>
    </w:p>
    <w:p w14:paraId="2221886E" w14:textId="44A4EF5C" w:rsidR="00E64863" w:rsidRPr="00E64863" w:rsidRDefault="00E64863" w:rsidP="00E64863">
      <w:pPr>
        <w:pStyle w:val="Titre2"/>
        <w:numPr>
          <w:ilvl w:val="0"/>
          <w:numId w:val="24"/>
        </w:numPr>
      </w:pPr>
      <w:bookmarkStart w:id="15" w:name="_Toc118307111"/>
      <w:r w:rsidRPr="00E64863">
        <w:t>L’information des personnes se prêtant à la recherche et le consentement</w:t>
      </w:r>
      <w:bookmarkEnd w:id="15"/>
      <w:r w:rsidRPr="00E64863">
        <w:t xml:space="preserve"> </w:t>
      </w:r>
    </w:p>
    <w:p w14:paraId="544E095C" w14:textId="77777777" w:rsidR="00E64863" w:rsidRPr="00E64863" w:rsidRDefault="00E64863" w:rsidP="00E64863">
      <w:r w:rsidRPr="00E64863">
        <w:t>Information des patients : La lettre d’information au patient doit répondre au moins aux questions suivantes :</w:t>
      </w:r>
    </w:p>
    <w:p w14:paraId="50C9F479" w14:textId="0FA3D978" w:rsidR="00E64863" w:rsidRPr="00E64863" w:rsidRDefault="00E64863" w:rsidP="00E64863">
      <w:r w:rsidRPr="00E64863">
        <w:t xml:space="preserve">- Le but de </w:t>
      </w:r>
      <w:r w:rsidRPr="00E64863">
        <w:t>l’étude ;</w:t>
      </w:r>
    </w:p>
    <w:p w14:paraId="6EB4AEEE" w14:textId="580437E3" w:rsidR="00E64863" w:rsidRPr="00E64863" w:rsidRDefault="00E64863" w:rsidP="00E64863">
      <w:r w:rsidRPr="00E64863">
        <w:t xml:space="preserve">- Les personnes susceptibles d’y </w:t>
      </w:r>
      <w:r w:rsidR="000E4828" w:rsidRPr="00E64863">
        <w:t>participer ;</w:t>
      </w:r>
    </w:p>
    <w:p w14:paraId="24A7CCA9" w14:textId="6DA4984D" w:rsidR="00E64863" w:rsidRPr="00E64863" w:rsidRDefault="00E64863" w:rsidP="00E64863">
      <w:r w:rsidRPr="00E64863">
        <w:t xml:space="preserve">- Les raisons ayant convaincues les chercheurs que le nouveau traitement faisant l’objet de l’essai pourrait être </w:t>
      </w:r>
      <w:r w:rsidR="000E4828" w:rsidRPr="00E64863">
        <w:t>efficace ;</w:t>
      </w:r>
    </w:p>
    <w:p w14:paraId="54632DF5" w14:textId="57F011DF" w:rsidR="00E64863" w:rsidRPr="00E64863" w:rsidRDefault="00E64863" w:rsidP="00E64863">
      <w:r w:rsidRPr="00E64863">
        <w:t xml:space="preserve">- Si le nouveau traitement a déjà fait l’objet d’une </w:t>
      </w:r>
      <w:r w:rsidR="000E4828" w:rsidRPr="00E64863">
        <w:t>étude ;</w:t>
      </w:r>
    </w:p>
    <w:p w14:paraId="7BE7038A" w14:textId="31FB8F71" w:rsidR="00E64863" w:rsidRPr="00E64863" w:rsidRDefault="00E64863" w:rsidP="00E64863">
      <w:r w:rsidRPr="00E64863">
        <w:t xml:space="preserve">- Les types de tests et de traitements imposés par </w:t>
      </w:r>
      <w:r w:rsidR="000E4828" w:rsidRPr="00E64863">
        <w:t>l’essai ;</w:t>
      </w:r>
    </w:p>
    <w:p w14:paraId="687FC8C8" w14:textId="2B80E6F9" w:rsidR="00E64863" w:rsidRPr="00E64863" w:rsidRDefault="00E64863" w:rsidP="00E64863">
      <w:r w:rsidRPr="00E64863">
        <w:t xml:space="preserve">- Dans quelle mesure peut-on comparer les risques, les effets secondaires et les avantages possibles de cette étude avec un autre </w:t>
      </w:r>
      <w:r w:rsidR="000E4828" w:rsidRPr="00E64863">
        <w:t>traitement ;</w:t>
      </w:r>
    </w:p>
    <w:p w14:paraId="0946800B" w14:textId="578AD012" w:rsidR="00E64863" w:rsidRPr="00E64863" w:rsidRDefault="00E64863" w:rsidP="00E64863">
      <w:r w:rsidRPr="00E64863">
        <w:t xml:space="preserve">- Dans quelle mesure cet essai </w:t>
      </w:r>
      <w:r w:rsidR="000E4828" w:rsidRPr="00E64863">
        <w:t>aura-t</w:t>
      </w:r>
      <w:r w:rsidRPr="00E64863">
        <w:t>-il un effet sur la vie au quotidien de la personne se prêtant à la recherche;</w:t>
      </w:r>
    </w:p>
    <w:p w14:paraId="70AAE23C" w14:textId="16C30B54" w:rsidR="00E64863" w:rsidRPr="00E64863" w:rsidRDefault="00E64863" w:rsidP="00E64863">
      <w:r w:rsidRPr="00E64863">
        <w:t xml:space="preserve">- Les risques </w:t>
      </w:r>
      <w:r w:rsidR="000E4828" w:rsidRPr="00E64863">
        <w:t>auxquels</w:t>
      </w:r>
      <w:r w:rsidRPr="00E64863">
        <w:t xml:space="preserve"> s’expose la personne se prêtant à la </w:t>
      </w:r>
      <w:r w:rsidR="000E4828" w:rsidRPr="00E64863">
        <w:t>recherche ;</w:t>
      </w:r>
      <w:r w:rsidRPr="00E64863">
        <w:t xml:space="preserve"> </w:t>
      </w:r>
    </w:p>
    <w:p w14:paraId="66B6197F" w14:textId="166369EE" w:rsidR="00E64863" w:rsidRPr="00E64863" w:rsidRDefault="00E64863" w:rsidP="00E64863">
      <w:r w:rsidRPr="00E64863">
        <w:t xml:space="preserve">- La durée </w:t>
      </w:r>
      <w:r w:rsidR="000E4828" w:rsidRPr="00E64863">
        <w:t>d</w:t>
      </w:r>
      <w:r w:rsidR="000E4828">
        <w:t>e l’</w:t>
      </w:r>
      <w:r w:rsidR="000E4828" w:rsidRPr="00E64863">
        <w:t>essai ;</w:t>
      </w:r>
    </w:p>
    <w:p w14:paraId="72FD0728" w14:textId="0DA692CE" w:rsidR="00E64863" w:rsidRPr="00E64863" w:rsidRDefault="00E64863" w:rsidP="00E64863">
      <w:r w:rsidRPr="00E64863">
        <w:lastRenderedPageBreak/>
        <w:t xml:space="preserve">- Qui couvrira les frais de traitement et si les autres dépenses seront prises en </w:t>
      </w:r>
      <w:r w:rsidR="000E4828" w:rsidRPr="00E64863">
        <w:t>charge ;</w:t>
      </w:r>
    </w:p>
    <w:p w14:paraId="70088A8E" w14:textId="364ABF3D" w:rsidR="00E64863" w:rsidRPr="00E64863" w:rsidRDefault="00E64863" w:rsidP="00E64863">
      <w:r w:rsidRPr="00E64863">
        <w:t>- Quel type de suivi à long terme cette étude exige-t-</w:t>
      </w:r>
      <w:r w:rsidR="000E4828" w:rsidRPr="00E64863">
        <w:t>elle ;</w:t>
      </w:r>
      <w:r w:rsidRPr="00E64863">
        <w:t xml:space="preserve"> </w:t>
      </w:r>
    </w:p>
    <w:p w14:paraId="12B861B3" w14:textId="77777777" w:rsidR="00E64863" w:rsidRPr="00E64863" w:rsidRDefault="00E64863" w:rsidP="00E64863">
      <w:r w:rsidRPr="00E64863">
        <w:t>- Comment la personne se prêtant à la recherche peut savoir si le traitement est efficace et si elle recevra les résultats de l’essai.</w:t>
      </w:r>
    </w:p>
    <w:p w14:paraId="4688CA19" w14:textId="77777777" w:rsidR="00E64863" w:rsidRPr="00E64863" w:rsidRDefault="00E64863" w:rsidP="00E64863">
      <w:r w:rsidRPr="00E64863">
        <w:t xml:space="preserve">Le Consentement : Consentement préalable à la recherche, après information du sujet, Libre, éclairé et exprès, Donné par écrit ou, en cas d'impossibilité, attesté par un tiers, totalement indépendant de l'Investigateur et du promoteur </w:t>
      </w:r>
    </w:p>
    <w:p w14:paraId="565FC6B8" w14:textId="77777777" w:rsidR="00AE73E2" w:rsidRPr="00AE73E2" w:rsidRDefault="00AE73E2" w:rsidP="00AE73E2">
      <w:r w:rsidRPr="00AE73E2">
        <w:t xml:space="preserve">Indemnisation des personnes participant à la recherche- La réglementation </w:t>
      </w:r>
    </w:p>
    <w:p w14:paraId="3357756F" w14:textId="77777777" w:rsidR="00AE73E2" w:rsidRPr="00AE73E2" w:rsidRDefault="00AE73E2" w:rsidP="00AE73E2">
      <w:r w:rsidRPr="00AE73E2">
        <w:t xml:space="preserve">Lorsque le participant est un malade : Aucune contrepartie financière directe ou indirecte (tous les frais sont pris en charge par le promoteur). </w:t>
      </w:r>
    </w:p>
    <w:p w14:paraId="3D40EF14" w14:textId="77777777" w:rsidR="00AE73E2" w:rsidRPr="00AE73E2" w:rsidRDefault="00AE73E2" w:rsidP="00AE73E2">
      <w:r w:rsidRPr="00AE73E2">
        <w:t xml:space="preserve">Lorsque le participant est un volontaire sain : Remboursement des frais (il reçoit une indemnité en compensation des contraintes liées à la recherche. Cette indemnité est versée par le promoteur). </w:t>
      </w:r>
    </w:p>
    <w:p w14:paraId="7F209E3D" w14:textId="77777777" w:rsidR="00AE73E2" w:rsidRPr="00AE73E2" w:rsidRDefault="00AE73E2" w:rsidP="00AE73E2">
      <w:r w:rsidRPr="00AE73E2">
        <w:t xml:space="preserve">L’indemnité pour personnes protégées est interdite (mineurs, personnes avec mesure de protection légale, majeurs hors d'état d'exprimer leur consentement, personnes privées de liberté, personnes hospitalisées sans leur consentement, personnes admises dans un établissement sanitaire et social à d'autres fins que la recherche). </w:t>
      </w:r>
    </w:p>
    <w:p w14:paraId="21639168" w14:textId="77777777" w:rsidR="00AE73E2" w:rsidRPr="00AE73E2" w:rsidRDefault="00AE73E2" w:rsidP="00AE73E2">
      <w:r w:rsidRPr="00AE73E2">
        <w:t xml:space="preserve">Le CPP rend son avis sur les montants et les modalités d’indemnisation des participants. </w:t>
      </w:r>
    </w:p>
    <w:p w14:paraId="03CE1761" w14:textId="77777777" w:rsidR="00AE73E2" w:rsidRPr="00AE73E2" w:rsidRDefault="00AE73E2" w:rsidP="00AE73E2">
      <w:r w:rsidRPr="00AE73E2">
        <w:t xml:space="preserve">En France pour les volontaires sains, leur participation dans un essai clinique entraine leur inscription au Fichier National des Volontaires sains. </w:t>
      </w:r>
    </w:p>
    <w:p w14:paraId="61450CE4" w14:textId="77777777" w:rsidR="008D3658" w:rsidRDefault="008D3658"/>
    <w:p w14:paraId="4AB329C7" w14:textId="067F6B53" w:rsidR="0031540F" w:rsidRDefault="00AE73E2">
      <w:r>
        <w:t>Merci pour votre écoute.</w:t>
      </w:r>
    </w:p>
    <w:sectPr w:rsidR="00315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CA8"/>
    <w:multiLevelType w:val="hybridMultilevel"/>
    <w:tmpl w:val="E3B41552"/>
    <w:lvl w:ilvl="0" w:tplc="5A781198">
      <w:start w:val="1"/>
      <w:numFmt w:val="bullet"/>
      <w:lvlText w:val="-"/>
      <w:lvlJc w:val="left"/>
      <w:pPr>
        <w:tabs>
          <w:tab w:val="num" w:pos="720"/>
        </w:tabs>
        <w:ind w:left="720" w:hanging="360"/>
      </w:pPr>
      <w:rPr>
        <w:rFonts w:ascii="Arial" w:hAnsi="Arial" w:hint="default"/>
      </w:rPr>
    </w:lvl>
    <w:lvl w:ilvl="1" w:tplc="637600CA" w:tentative="1">
      <w:start w:val="1"/>
      <w:numFmt w:val="bullet"/>
      <w:lvlText w:val="-"/>
      <w:lvlJc w:val="left"/>
      <w:pPr>
        <w:tabs>
          <w:tab w:val="num" w:pos="1440"/>
        </w:tabs>
        <w:ind w:left="1440" w:hanging="360"/>
      </w:pPr>
      <w:rPr>
        <w:rFonts w:ascii="Arial" w:hAnsi="Arial" w:hint="default"/>
      </w:rPr>
    </w:lvl>
    <w:lvl w:ilvl="2" w:tplc="96B2D494" w:tentative="1">
      <w:start w:val="1"/>
      <w:numFmt w:val="bullet"/>
      <w:lvlText w:val="-"/>
      <w:lvlJc w:val="left"/>
      <w:pPr>
        <w:tabs>
          <w:tab w:val="num" w:pos="2160"/>
        </w:tabs>
        <w:ind w:left="2160" w:hanging="360"/>
      </w:pPr>
      <w:rPr>
        <w:rFonts w:ascii="Arial" w:hAnsi="Arial" w:hint="default"/>
      </w:rPr>
    </w:lvl>
    <w:lvl w:ilvl="3" w:tplc="E3D2A036" w:tentative="1">
      <w:start w:val="1"/>
      <w:numFmt w:val="bullet"/>
      <w:lvlText w:val="-"/>
      <w:lvlJc w:val="left"/>
      <w:pPr>
        <w:tabs>
          <w:tab w:val="num" w:pos="2880"/>
        </w:tabs>
        <w:ind w:left="2880" w:hanging="360"/>
      </w:pPr>
      <w:rPr>
        <w:rFonts w:ascii="Arial" w:hAnsi="Arial" w:hint="default"/>
      </w:rPr>
    </w:lvl>
    <w:lvl w:ilvl="4" w:tplc="CA6669CC" w:tentative="1">
      <w:start w:val="1"/>
      <w:numFmt w:val="bullet"/>
      <w:lvlText w:val="-"/>
      <w:lvlJc w:val="left"/>
      <w:pPr>
        <w:tabs>
          <w:tab w:val="num" w:pos="3600"/>
        </w:tabs>
        <w:ind w:left="3600" w:hanging="360"/>
      </w:pPr>
      <w:rPr>
        <w:rFonts w:ascii="Arial" w:hAnsi="Arial" w:hint="default"/>
      </w:rPr>
    </w:lvl>
    <w:lvl w:ilvl="5" w:tplc="17EAAB3E" w:tentative="1">
      <w:start w:val="1"/>
      <w:numFmt w:val="bullet"/>
      <w:lvlText w:val="-"/>
      <w:lvlJc w:val="left"/>
      <w:pPr>
        <w:tabs>
          <w:tab w:val="num" w:pos="4320"/>
        </w:tabs>
        <w:ind w:left="4320" w:hanging="360"/>
      </w:pPr>
      <w:rPr>
        <w:rFonts w:ascii="Arial" w:hAnsi="Arial" w:hint="default"/>
      </w:rPr>
    </w:lvl>
    <w:lvl w:ilvl="6" w:tplc="087E21A6" w:tentative="1">
      <w:start w:val="1"/>
      <w:numFmt w:val="bullet"/>
      <w:lvlText w:val="-"/>
      <w:lvlJc w:val="left"/>
      <w:pPr>
        <w:tabs>
          <w:tab w:val="num" w:pos="5040"/>
        </w:tabs>
        <w:ind w:left="5040" w:hanging="360"/>
      </w:pPr>
      <w:rPr>
        <w:rFonts w:ascii="Arial" w:hAnsi="Arial" w:hint="default"/>
      </w:rPr>
    </w:lvl>
    <w:lvl w:ilvl="7" w:tplc="5228195E" w:tentative="1">
      <w:start w:val="1"/>
      <w:numFmt w:val="bullet"/>
      <w:lvlText w:val="-"/>
      <w:lvlJc w:val="left"/>
      <w:pPr>
        <w:tabs>
          <w:tab w:val="num" w:pos="5760"/>
        </w:tabs>
        <w:ind w:left="5760" w:hanging="360"/>
      </w:pPr>
      <w:rPr>
        <w:rFonts w:ascii="Arial" w:hAnsi="Arial" w:hint="default"/>
      </w:rPr>
    </w:lvl>
    <w:lvl w:ilvl="8" w:tplc="8CC009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E3810"/>
    <w:multiLevelType w:val="hybridMultilevel"/>
    <w:tmpl w:val="EA3CC5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B07EB0"/>
    <w:multiLevelType w:val="hybridMultilevel"/>
    <w:tmpl w:val="DF80CD1E"/>
    <w:lvl w:ilvl="0" w:tplc="99BC4C46">
      <w:start w:val="1"/>
      <w:numFmt w:val="bullet"/>
      <w:lvlText w:val="-"/>
      <w:lvlJc w:val="left"/>
      <w:pPr>
        <w:tabs>
          <w:tab w:val="num" w:pos="720"/>
        </w:tabs>
        <w:ind w:left="720" w:hanging="360"/>
      </w:pPr>
      <w:rPr>
        <w:rFonts w:ascii="Arial" w:hAnsi="Arial" w:hint="default"/>
      </w:rPr>
    </w:lvl>
    <w:lvl w:ilvl="1" w:tplc="ADBECD94" w:tentative="1">
      <w:start w:val="1"/>
      <w:numFmt w:val="bullet"/>
      <w:lvlText w:val="-"/>
      <w:lvlJc w:val="left"/>
      <w:pPr>
        <w:tabs>
          <w:tab w:val="num" w:pos="1440"/>
        </w:tabs>
        <w:ind w:left="1440" w:hanging="360"/>
      </w:pPr>
      <w:rPr>
        <w:rFonts w:ascii="Arial" w:hAnsi="Arial" w:hint="default"/>
      </w:rPr>
    </w:lvl>
    <w:lvl w:ilvl="2" w:tplc="2B560E98" w:tentative="1">
      <w:start w:val="1"/>
      <w:numFmt w:val="bullet"/>
      <w:lvlText w:val="-"/>
      <w:lvlJc w:val="left"/>
      <w:pPr>
        <w:tabs>
          <w:tab w:val="num" w:pos="2160"/>
        </w:tabs>
        <w:ind w:left="2160" w:hanging="360"/>
      </w:pPr>
      <w:rPr>
        <w:rFonts w:ascii="Arial" w:hAnsi="Arial" w:hint="default"/>
      </w:rPr>
    </w:lvl>
    <w:lvl w:ilvl="3" w:tplc="2878CEB2" w:tentative="1">
      <w:start w:val="1"/>
      <w:numFmt w:val="bullet"/>
      <w:lvlText w:val="-"/>
      <w:lvlJc w:val="left"/>
      <w:pPr>
        <w:tabs>
          <w:tab w:val="num" w:pos="2880"/>
        </w:tabs>
        <w:ind w:left="2880" w:hanging="360"/>
      </w:pPr>
      <w:rPr>
        <w:rFonts w:ascii="Arial" w:hAnsi="Arial" w:hint="default"/>
      </w:rPr>
    </w:lvl>
    <w:lvl w:ilvl="4" w:tplc="0EC6FDFC" w:tentative="1">
      <w:start w:val="1"/>
      <w:numFmt w:val="bullet"/>
      <w:lvlText w:val="-"/>
      <w:lvlJc w:val="left"/>
      <w:pPr>
        <w:tabs>
          <w:tab w:val="num" w:pos="3600"/>
        </w:tabs>
        <w:ind w:left="3600" w:hanging="360"/>
      </w:pPr>
      <w:rPr>
        <w:rFonts w:ascii="Arial" w:hAnsi="Arial" w:hint="default"/>
      </w:rPr>
    </w:lvl>
    <w:lvl w:ilvl="5" w:tplc="2F18F992" w:tentative="1">
      <w:start w:val="1"/>
      <w:numFmt w:val="bullet"/>
      <w:lvlText w:val="-"/>
      <w:lvlJc w:val="left"/>
      <w:pPr>
        <w:tabs>
          <w:tab w:val="num" w:pos="4320"/>
        </w:tabs>
        <w:ind w:left="4320" w:hanging="360"/>
      </w:pPr>
      <w:rPr>
        <w:rFonts w:ascii="Arial" w:hAnsi="Arial" w:hint="default"/>
      </w:rPr>
    </w:lvl>
    <w:lvl w:ilvl="6" w:tplc="22DCAA48" w:tentative="1">
      <w:start w:val="1"/>
      <w:numFmt w:val="bullet"/>
      <w:lvlText w:val="-"/>
      <w:lvlJc w:val="left"/>
      <w:pPr>
        <w:tabs>
          <w:tab w:val="num" w:pos="5040"/>
        </w:tabs>
        <w:ind w:left="5040" w:hanging="360"/>
      </w:pPr>
      <w:rPr>
        <w:rFonts w:ascii="Arial" w:hAnsi="Arial" w:hint="default"/>
      </w:rPr>
    </w:lvl>
    <w:lvl w:ilvl="7" w:tplc="00D2E550" w:tentative="1">
      <w:start w:val="1"/>
      <w:numFmt w:val="bullet"/>
      <w:lvlText w:val="-"/>
      <w:lvlJc w:val="left"/>
      <w:pPr>
        <w:tabs>
          <w:tab w:val="num" w:pos="5760"/>
        </w:tabs>
        <w:ind w:left="5760" w:hanging="360"/>
      </w:pPr>
      <w:rPr>
        <w:rFonts w:ascii="Arial" w:hAnsi="Arial" w:hint="default"/>
      </w:rPr>
    </w:lvl>
    <w:lvl w:ilvl="8" w:tplc="C2A84F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727EA"/>
    <w:multiLevelType w:val="hybridMultilevel"/>
    <w:tmpl w:val="EA3CC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7F63DF"/>
    <w:multiLevelType w:val="hybridMultilevel"/>
    <w:tmpl w:val="5C185DF8"/>
    <w:lvl w:ilvl="0" w:tplc="4CF0E0C0">
      <w:start w:val="1"/>
      <w:numFmt w:val="bullet"/>
      <w:lvlText w:val="-"/>
      <w:lvlJc w:val="left"/>
      <w:pPr>
        <w:tabs>
          <w:tab w:val="num" w:pos="720"/>
        </w:tabs>
        <w:ind w:left="720" w:hanging="360"/>
      </w:pPr>
      <w:rPr>
        <w:rFonts w:ascii="Arial" w:hAnsi="Arial" w:hint="default"/>
      </w:rPr>
    </w:lvl>
    <w:lvl w:ilvl="1" w:tplc="AAFAC898" w:tentative="1">
      <w:start w:val="1"/>
      <w:numFmt w:val="bullet"/>
      <w:lvlText w:val="-"/>
      <w:lvlJc w:val="left"/>
      <w:pPr>
        <w:tabs>
          <w:tab w:val="num" w:pos="1440"/>
        </w:tabs>
        <w:ind w:left="1440" w:hanging="360"/>
      </w:pPr>
      <w:rPr>
        <w:rFonts w:ascii="Arial" w:hAnsi="Arial" w:hint="default"/>
      </w:rPr>
    </w:lvl>
    <w:lvl w:ilvl="2" w:tplc="E5CEA112" w:tentative="1">
      <w:start w:val="1"/>
      <w:numFmt w:val="bullet"/>
      <w:lvlText w:val="-"/>
      <w:lvlJc w:val="left"/>
      <w:pPr>
        <w:tabs>
          <w:tab w:val="num" w:pos="2160"/>
        </w:tabs>
        <w:ind w:left="2160" w:hanging="360"/>
      </w:pPr>
      <w:rPr>
        <w:rFonts w:ascii="Arial" w:hAnsi="Arial" w:hint="default"/>
      </w:rPr>
    </w:lvl>
    <w:lvl w:ilvl="3" w:tplc="A4BA0664" w:tentative="1">
      <w:start w:val="1"/>
      <w:numFmt w:val="bullet"/>
      <w:lvlText w:val="-"/>
      <w:lvlJc w:val="left"/>
      <w:pPr>
        <w:tabs>
          <w:tab w:val="num" w:pos="2880"/>
        </w:tabs>
        <w:ind w:left="2880" w:hanging="360"/>
      </w:pPr>
      <w:rPr>
        <w:rFonts w:ascii="Arial" w:hAnsi="Arial" w:hint="default"/>
      </w:rPr>
    </w:lvl>
    <w:lvl w:ilvl="4" w:tplc="7C6CAA8A" w:tentative="1">
      <w:start w:val="1"/>
      <w:numFmt w:val="bullet"/>
      <w:lvlText w:val="-"/>
      <w:lvlJc w:val="left"/>
      <w:pPr>
        <w:tabs>
          <w:tab w:val="num" w:pos="3600"/>
        </w:tabs>
        <w:ind w:left="3600" w:hanging="360"/>
      </w:pPr>
      <w:rPr>
        <w:rFonts w:ascii="Arial" w:hAnsi="Arial" w:hint="default"/>
      </w:rPr>
    </w:lvl>
    <w:lvl w:ilvl="5" w:tplc="F9724452" w:tentative="1">
      <w:start w:val="1"/>
      <w:numFmt w:val="bullet"/>
      <w:lvlText w:val="-"/>
      <w:lvlJc w:val="left"/>
      <w:pPr>
        <w:tabs>
          <w:tab w:val="num" w:pos="4320"/>
        </w:tabs>
        <w:ind w:left="4320" w:hanging="360"/>
      </w:pPr>
      <w:rPr>
        <w:rFonts w:ascii="Arial" w:hAnsi="Arial" w:hint="default"/>
      </w:rPr>
    </w:lvl>
    <w:lvl w:ilvl="6" w:tplc="5628C51E" w:tentative="1">
      <w:start w:val="1"/>
      <w:numFmt w:val="bullet"/>
      <w:lvlText w:val="-"/>
      <w:lvlJc w:val="left"/>
      <w:pPr>
        <w:tabs>
          <w:tab w:val="num" w:pos="5040"/>
        </w:tabs>
        <w:ind w:left="5040" w:hanging="360"/>
      </w:pPr>
      <w:rPr>
        <w:rFonts w:ascii="Arial" w:hAnsi="Arial" w:hint="default"/>
      </w:rPr>
    </w:lvl>
    <w:lvl w:ilvl="7" w:tplc="BC467408" w:tentative="1">
      <w:start w:val="1"/>
      <w:numFmt w:val="bullet"/>
      <w:lvlText w:val="-"/>
      <w:lvlJc w:val="left"/>
      <w:pPr>
        <w:tabs>
          <w:tab w:val="num" w:pos="5760"/>
        </w:tabs>
        <w:ind w:left="5760" w:hanging="360"/>
      </w:pPr>
      <w:rPr>
        <w:rFonts w:ascii="Arial" w:hAnsi="Arial" w:hint="default"/>
      </w:rPr>
    </w:lvl>
    <w:lvl w:ilvl="8" w:tplc="D1F8B8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762E24"/>
    <w:multiLevelType w:val="hybridMultilevel"/>
    <w:tmpl w:val="C1601398"/>
    <w:lvl w:ilvl="0" w:tplc="0400ADCE">
      <w:start w:val="1"/>
      <w:numFmt w:val="bullet"/>
      <w:lvlText w:val="-"/>
      <w:lvlJc w:val="left"/>
      <w:pPr>
        <w:tabs>
          <w:tab w:val="num" w:pos="720"/>
        </w:tabs>
        <w:ind w:left="720" w:hanging="360"/>
      </w:pPr>
      <w:rPr>
        <w:rFonts w:ascii="Arial" w:hAnsi="Arial" w:hint="default"/>
      </w:rPr>
    </w:lvl>
    <w:lvl w:ilvl="1" w:tplc="3A285BD8" w:tentative="1">
      <w:start w:val="1"/>
      <w:numFmt w:val="bullet"/>
      <w:lvlText w:val="-"/>
      <w:lvlJc w:val="left"/>
      <w:pPr>
        <w:tabs>
          <w:tab w:val="num" w:pos="1440"/>
        </w:tabs>
        <w:ind w:left="1440" w:hanging="360"/>
      </w:pPr>
      <w:rPr>
        <w:rFonts w:ascii="Arial" w:hAnsi="Arial" w:hint="default"/>
      </w:rPr>
    </w:lvl>
    <w:lvl w:ilvl="2" w:tplc="CD026D3C" w:tentative="1">
      <w:start w:val="1"/>
      <w:numFmt w:val="bullet"/>
      <w:lvlText w:val="-"/>
      <w:lvlJc w:val="left"/>
      <w:pPr>
        <w:tabs>
          <w:tab w:val="num" w:pos="2160"/>
        </w:tabs>
        <w:ind w:left="2160" w:hanging="360"/>
      </w:pPr>
      <w:rPr>
        <w:rFonts w:ascii="Arial" w:hAnsi="Arial" w:hint="default"/>
      </w:rPr>
    </w:lvl>
    <w:lvl w:ilvl="3" w:tplc="36F6C8C6" w:tentative="1">
      <w:start w:val="1"/>
      <w:numFmt w:val="bullet"/>
      <w:lvlText w:val="-"/>
      <w:lvlJc w:val="left"/>
      <w:pPr>
        <w:tabs>
          <w:tab w:val="num" w:pos="2880"/>
        </w:tabs>
        <w:ind w:left="2880" w:hanging="360"/>
      </w:pPr>
      <w:rPr>
        <w:rFonts w:ascii="Arial" w:hAnsi="Arial" w:hint="default"/>
      </w:rPr>
    </w:lvl>
    <w:lvl w:ilvl="4" w:tplc="0E74CA3C" w:tentative="1">
      <w:start w:val="1"/>
      <w:numFmt w:val="bullet"/>
      <w:lvlText w:val="-"/>
      <w:lvlJc w:val="left"/>
      <w:pPr>
        <w:tabs>
          <w:tab w:val="num" w:pos="3600"/>
        </w:tabs>
        <w:ind w:left="3600" w:hanging="360"/>
      </w:pPr>
      <w:rPr>
        <w:rFonts w:ascii="Arial" w:hAnsi="Arial" w:hint="default"/>
      </w:rPr>
    </w:lvl>
    <w:lvl w:ilvl="5" w:tplc="D8106142" w:tentative="1">
      <w:start w:val="1"/>
      <w:numFmt w:val="bullet"/>
      <w:lvlText w:val="-"/>
      <w:lvlJc w:val="left"/>
      <w:pPr>
        <w:tabs>
          <w:tab w:val="num" w:pos="4320"/>
        </w:tabs>
        <w:ind w:left="4320" w:hanging="360"/>
      </w:pPr>
      <w:rPr>
        <w:rFonts w:ascii="Arial" w:hAnsi="Arial" w:hint="default"/>
      </w:rPr>
    </w:lvl>
    <w:lvl w:ilvl="6" w:tplc="8A5EB976" w:tentative="1">
      <w:start w:val="1"/>
      <w:numFmt w:val="bullet"/>
      <w:lvlText w:val="-"/>
      <w:lvlJc w:val="left"/>
      <w:pPr>
        <w:tabs>
          <w:tab w:val="num" w:pos="5040"/>
        </w:tabs>
        <w:ind w:left="5040" w:hanging="360"/>
      </w:pPr>
      <w:rPr>
        <w:rFonts w:ascii="Arial" w:hAnsi="Arial" w:hint="default"/>
      </w:rPr>
    </w:lvl>
    <w:lvl w:ilvl="7" w:tplc="54663DF6" w:tentative="1">
      <w:start w:val="1"/>
      <w:numFmt w:val="bullet"/>
      <w:lvlText w:val="-"/>
      <w:lvlJc w:val="left"/>
      <w:pPr>
        <w:tabs>
          <w:tab w:val="num" w:pos="5760"/>
        </w:tabs>
        <w:ind w:left="5760" w:hanging="360"/>
      </w:pPr>
      <w:rPr>
        <w:rFonts w:ascii="Arial" w:hAnsi="Arial" w:hint="default"/>
      </w:rPr>
    </w:lvl>
    <w:lvl w:ilvl="8" w:tplc="5518F2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B753DC"/>
    <w:multiLevelType w:val="hybridMultilevel"/>
    <w:tmpl w:val="BA560540"/>
    <w:lvl w:ilvl="0" w:tplc="A7C0F546">
      <w:start w:val="1"/>
      <w:numFmt w:val="bullet"/>
      <w:lvlText w:val="-"/>
      <w:lvlJc w:val="left"/>
      <w:pPr>
        <w:tabs>
          <w:tab w:val="num" w:pos="720"/>
        </w:tabs>
        <w:ind w:left="720" w:hanging="360"/>
      </w:pPr>
      <w:rPr>
        <w:rFonts w:ascii="Arial" w:hAnsi="Arial" w:hint="default"/>
      </w:rPr>
    </w:lvl>
    <w:lvl w:ilvl="1" w:tplc="FF6C833A" w:tentative="1">
      <w:start w:val="1"/>
      <w:numFmt w:val="bullet"/>
      <w:lvlText w:val="-"/>
      <w:lvlJc w:val="left"/>
      <w:pPr>
        <w:tabs>
          <w:tab w:val="num" w:pos="1440"/>
        </w:tabs>
        <w:ind w:left="1440" w:hanging="360"/>
      </w:pPr>
      <w:rPr>
        <w:rFonts w:ascii="Arial" w:hAnsi="Arial" w:hint="default"/>
      </w:rPr>
    </w:lvl>
    <w:lvl w:ilvl="2" w:tplc="E45E8C40" w:tentative="1">
      <w:start w:val="1"/>
      <w:numFmt w:val="bullet"/>
      <w:lvlText w:val="-"/>
      <w:lvlJc w:val="left"/>
      <w:pPr>
        <w:tabs>
          <w:tab w:val="num" w:pos="2160"/>
        </w:tabs>
        <w:ind w:left="2160" w:hanging="360"/>
      </w:pPr>
      <w:rPr>
        <w:rFonts w:ascii="Arial" w:hAnsi="Arial" w:hint="default"/>
      </w:rPr>
    </w:lvl>
    <w:lvl w:ilvl="3" w:tplc="F15A8966" w:tentative="1">
      <w:start w:val="1"/>
      <w:numFmt w:val="bullet"/>
      <w:lvlText w:val="-"/>
      <w:lvlJc w:val="left"/>
      <w:pPr>
        <w:tabs>
          <w:tab w:val="num" w:pos="2880"/>
        </w:tabs>
        <w:ind w:left="2880" w:hanging="360"/>
      </w:pPr>
      <w:rPr>
        <w:rFonts w:ascii="Arial" w:hAnsi="Arial" w:hint="default"/>
      </w:rPr>
    </w:lvl>
    <w:lvl w:ilvl="4" w:tplc="9F00734E" w:tentative="1">
      <w:start w:val="1"/>
      <w:numFmt w:val="bullet"/>
      <w:lvlText w:val="-"/>
      <w:lvlJc w:val="left"/>
      <w:pPr>
        <w:tabs>
          <w:tab w:val="num" w:pos="3600"/>
        </w:tabs>
        <w:ind w:left="3600" w:hanging="360"/>
      </w:pPr>
      <w:rPr>
        <w:rFonts w:ascii="Arial" w:hAnsi="Arial" w:hint="default"/>
      </w:rPr>
    </w:lvl>
    <w:lvl w:ilvl="5" w:tplc="D30CEC6E" w:tentative="1">
      <w:start w:val="1"/>
      <w:numFmt w:val="bullet"/>
      <w:lvlText w:val="-"/>
      <w:lvlJc w:val="left"/>
      <w:pPr>
        <w:tabs>
          <w:tab w:val="num" w:pos="4320"/>
        </w:tabs>
        <w:ind w:left="4320" w:hanging="360"/>
      </w:pPr>
      <w:rPr>
        <w:rFonts w:ascii="Arial" w:hAnsi="Arial" w:hint="default"/>
      </w:rPr>
    </w:lvl>
    <w:lvl w:ilvl="6" w:tplc="DA98BA84" w:tentative="1">
      <w:start w:val="1"/>
      <w:numFmt w:val="bullet"/>
      <w:lvlText w:val="-"/>
      <w:lvlJc w:val="left"/>
      <w:pPr>
        <w:tabs>
          <w:tab w:val="num" w:pos="5040"/>
        </w:tabs>
        <w:ind w:left="5040" w:hanging="360"/>
      </w:pPr>
      <w:rPr>
        <w:rFonts w:ascii="Arial" w:hAnsi="Arial" w:hint="default"/>
      </w:rPr>
    </w:lvl>
    <w:lvl w:ilvl="7" w:tplc="D94E275C" w:tentative="1">
      <w:start w:val="1"/>
      <w:numFmt w:val="bullet"/>
      <w:lvlText w:val="-"/>
      <w:lvlJc w:val="left"/>
      <w:pPr>
        <w:tabs>
          <w:tab w:val="num" w:pos="5760"/>
        </w:tabs>
        <w:ind w:left="5760" w:hanging="360"/>
      </w:pPr>
      <w:rPr>
        <w:rFonts w:ascii="Arial" w:hAnsi="Arial" w:hint="default"/>
      </w:rPr>
    </w:lvl>
    <w:lvl w:ilvl="8" w:tplc="3DEE4E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44761E"/>
    <w:multiLevelType w:val="hybridMultilevel"/>
    <w:tmpl w:val="72AA7620"/>
    <w:lvl w:ilvl="0" w:tplc="4F362EC4">
      <w:start w:val="1"/>
      <w:numFmt w:val="bullet"/>
      <w:lvlText w:val="-"/>
      <w:lvlJc w:val="left"/>
      <w:pPr>
        <w:tabs>
          <w:tab w:val="num" w:pos="720"/>
        </w:tabs>
        <w:ind w:left="720" w:hanging="360"/>
      </w:pPr>
      <w:rPr>
        <w:rFonts w:ascii="Arial" w:hAnsi="Arial" w:hint="default"/>
      </w:rPr>
    </w:lvl>
    <w:lvl w:ilvl="1" w:tplc="84C01A5E" w:tentative="1">
      <w:start w:val="1"/>
      <w:numFmt w:val="bullet"/>
      <w:lvlText w:val="-"/>
      <w:lvlJc w:val="left"/>
      <w:pPr>
        <w:tabs>
          <w:tab w:val="num" w:pos="1440"/>
        </w:tabs>
        <w:ind w:left="1440" w:hanging="360"/>
      </w:pPr>
      <w:rPr>
        <w:rFonts w:ascii="Arial" w:hAnsi="Arial" w:hint="default"/>
      </w:rPr>
    </w:lvl>
    <w:lvl w:ilvl="2" w:tplc="D454307C" w:tentative="1">
      <w:start w:val="1"/>
      <w:numFmt w:val="bullet"/>
      <w:lvlText w:val="-"/>
      <w:lvlJc w:val="left"/>
      <w:pPr>
        <w:tabs>
          <w:tab w:val="num" w:pos="2160"/>
        </w:tabs>
        <w:ind w:left="2160" w:hanging="360"/>
      </w:pPr>
      <w:rPr>
        <w:rFonts w:ascii="Arial" w:hAnsi="Arial" w:hint="default"/>
      </w:rPr>
    </w:lvl>
    <w:lvl w:ilvl="3" w:tplc="5B402566" w:tentative="1">
      <w:start w:val="1"/>
      <w:numFmt w:val="bullet"/>
      <w:lvlText w:val="-"/>
      <w:lvlJc w:val="left"/>
      <w:pPr>
        <w:tabs>
          <w:tab w:val="num" w:pos="2880"/>
        </w:tabs>
        <w:ind w:left="2880" w:hanging="360"/>
      </w:pPr>
      <w:rPr>
        <w:rFonts w:ascii="Arial" w:hAnsi="Arial" w:hint="default"/>
      </w:rPr>
    </w:lvl>
    <w:lvl w:ilvl="4" w:tplc="01CA0B1C" w:tentative="1">
      <w:start w:val="1"/>
      <w:numFmt w:val="bullet"/>
      <w:lvlText w:val="-"/>
      <w:lvlJc w:val="left"/>
      <w:pPr>
        <w:tabs>
          <w:tab w:val="num" w:pos="3600"/>
        </w:tabs>
        <w:ind w:left="3600" w:hanging="360"/>
      </w:pPr>
      <w:rPr>
        <w:rFonts w:ascii="Arial" w:hAnsi="Arial" w:hint="default"/>
      </w:rPr>
    </w:lvl>
    <w:lvl w:ilvl="5" w:tplc="B6186AA2" w:tentative="1">
      <w:start w:val="1"/>
      <w:numFmt w:val="bullet"/>
      <w:lvlText w:val="-"/>
      <w:lvlJc w:val="left"/>
      <w:pPr>
        <w:tabs>
          <w:tab w:val="num" w:pos="4320"/>
        </w:tabs>
        <w:ind w:left="4320" w:hanging="360"/>
      </w:pPr>
      <w:rPr>
        <w:rFonts w:ascii="Arial" w:hAnsi="Arial" w:hint="default"/>
      </w:rPr>
    </w:lvl>
    <w:lvl w:ilvl="6" w:tplc="5616DB7A" w:tentative="1">
      <w:start w:val="1"/>
      <w:numFmt w:val="bullet"/>
      <w:lvlText w:val="-"/>
      <w:lvlJc w:val="left"/>
      <w:pPr>
        <w:tabs>
          <w:tab w:val="num" w:pos="5040"/>
        </w:tabs>
        <w:ind w:left="5040" w:hanging="360"/>
      </w:pPr>
      <w:rPr>
        <w:rFonts w:ascii="Arial" w:hAnsi="Arial" w:hint="default"/>
      </w:rPr>
    </w:lvl>
    <w:lvl w:ilvl="7" w:tplc="9B0A4324" w:tentative="1">
      <w:start w:val="1"/>
      <w:numFmt w:val="bullet"/>
      <w:lvlText w:val="-"/>
      <w:lvlJc w:val="left"/>
      <w:pPr>
        <w:tabs>
          <w:tab w:val="num" w:pos="5760"/>
        </w:tabs>
        <w:ind w:left="5760" w:hanging="360"/>
      </w:pPr>
      <w:rPr>
        <w:rFonts w:ascii="Arial" w:hAnsi="Arial" w:hint="default"/>
      </w:rPr>
    </w:lvl>
    <w:lvl w:ilvl="8" w:tplc="2938AF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085325"/>
    <w:multiLevelType w:val="hybridMultilevel"/>
    <w:tmpl w:val="EEFAA9E2"/>
    <w:lvl w:ilvl="0" w:tplc="F7DE87C8">
      <w:start w:val="1"/>
      <w:numFmt w:val="bullet"/>
      <w:lvlText w:val="-"/>
      <w:lvlJc w:val="left"/>
      <w:pPr>
        <w:tabs>
          <w:tab w:val="num" w:pos="720"/>
        </w:tabs>
        <w:ind w:left="720" w:hanging="360"/>
      </w:pPr>
      <w:rPr>
        <w:rFonts w:ascii="Arial" w:hAnsi="Arial" w:hint="default"/>
      </w:rPr>
    </w:lvl>
    <w:lvl w:ilvl="1" w:tplc="963AC1CC" w:tentative="1">
      <w:start w:val="1"/>
      <w:numFmt w:val="bullet"/>
      <w:lvlText w:val="-"/>
      <w:lvlJc w:val="left"/>
      <w:pPr>
        <w:tabs>
          <w:tab w:val="num" w:pos="1440"/>
        </w:tabs>
        <w:ind w:left="1440" w:hanging="360"/>
      </w:pPr>
      <w:rPr>
        <w:rFonts w:ascii="Arial" w:hAnsi="Arial" w:hint="default"/>
      </w:rPr>
    </w:lvl>
    <w:lvl w:ilvl="2" w:tplc="3D5410DC" w:tentative="1">
      <w:start w:val="1"/>
      <w:numFmt w:val="bullet"/>
      <w:lvlText w:val="-"/>
      <w:lvlJc w:val="left"/>
      <w:pPr>
        <w:tabs>
          <w:tab w:val="num" w:pos="2160"/>
        </w:tabs>
        <w:ind w:left="2160" w:hanging="360"/>
      </w:pPr>
      <w:rPr>
        <w:rFonts w:ascii="Arial" w:hAnsi="Arial" w:hint="default"/>
      </w:rPr>
    </w:lvl>
    <w:lvl w:ilvl="3" w:tplc="37785E8C" w:tentative="1">
      <w:start w:val="1"/>
      <w:numFmt w:val="bullet"/>
      <w:lvlText w:val="-"/>
      <w:lvlJc w:val="left"/>
      <w:pPr>
        <w:tabs>
          <w:tab w:val="num" w:pos="2880"/>
        </w:tabs>
        <w:ind w:left="2880" w:hanging="360"/>
      </w:pPr>
      <w:rPr>
        <w:rFonts w:ascii="Arial" w:hAnsi="Arial" w:hint="default"/>
      </w:rPr>
    </w:lvl>
    <w:lvl w:ilvl="4" w:tplc="B6AEDB08" w:tentative="1">
      <w:start w:val="1"/>
      <w:numFmt w:val="bullet"/>
      <w:lvlText w:val="-"/>
      <w:lvlJc w:val="left"/>
      <w:pPr>
        <w:tabs>
          <w:tab w:val="num" w:pos="3600"/>
        </w:tabs>
        <w:ind w:left="3600" w:hanging="360"/>
      </w:pPr>
      <w:rPr>
        <w:rFonts w:ascii="Arial" w:hAnsi="Arial" w:hint="default"/>
      </w:rPr>
    </w:lvl>
    <w:lvl w:ilvl="5" w:tplc="3A5EAEFC" w:tentative="1">
      <w:start w:val="1"/>
      <w:numFmt w:val="bullet"/>
      <w:lvlText w:val="-"/>
      <w:lvlJc w:val="left"/>
      <w:pPr>
        <w:tabs>
          <w:tab w:val="num" w:pos="4320"/>
        </w:tabs>
        <w:ind w:left="4320" w:hanging="360"/>
      </w:pPr>
      <w:rPr>
        <w:rFonts w:ascii="Arial" w:hAnsi="Arial" w:hint="default"/>
      </w:rPr>
    </w:lvl>
    <w:lvl w:ilvl="6" w:tplc="64CA1ACE" w:tentative="1">
      <w:start w:val="1"/>
      <w:numFmt w:val="bullet"/>
      <w:lvlText w:val="-"/>
      <w:lvlJc w:val="left"/>
      <w:pPr>
        <w:tabs>
          <w:tab w:val="num" w:pos="5040"/>
        </w:tabs>
        <w:ind w:left="5040" w:hanging="360"/>
      </w:pPr>
      <w:rPr>
        <w:rFonts w:ascii="Arial" w:hAnsi="Arial" w:hint="default"/>
      </w:rPr>
    </w:lvl>
    <w:lvl w:ilvl="7" w:tplc="9FBC9740" w:tentative="1">
      <w:start w:val="1"/>
      <w:numFmt w:val="bullet"/>
      <w:lvlText w:val="-"/>
      <w:lvlJc w:val="left"/>
      <w:pPr>
        <w:tabs>
          <w:tab w:val="num" w:pos="5760"/>
        </w:tabs>
        <w:ind w:left="5760" w:hanging="360"/>
      </w:pPr>
      <w:rPr>
        <w:rFonts w:ascii="Arial" w:hAnsi="Arial" w:hint="default"/>
      </w:rPr>
    </w:lvl>
    <w:lvl w:ilvl="8" w:tplc="FE14DB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35BE3"/>
    <w:multiLevelType w:val="hybridMultilevel"/>
    <w:tmpl w:val="AE42CEFE"/>
    <w:lvl w:ilvl="0" w:tplc="792A9B4C">
      <w:start w:val="1"/>
      <w:numFmt w:val="bullet"/>
      <w:lvlText w:val="-"/>
      <w:lvlJc w:val="left"/>
      <w:pPr>
        <w:tabs>
          <w:tab w:val="num" w:pos="720"/>
        </w:tabs>
        <w:ind w:left="720" w:hanging="360"/>
      </w:pPr>
      <w:rPr>
        <w:rFonts w:ascii="Arial" w:hAnsi="Arial" w:hint="default"/>
      </w:rPr>
    </w:lvl>
    <w:lvl w:ilvl="1" w:tplc="5C966954" w:tentative="1">
      <w:start w:val="1"/>
      <w:numFmt w:val="bullet"/>
      <w:lvlText w:val="-"/>
      <w:lvlJc w:val="left"/>
      <w:pPr>
        <w:tabs>
          <w:tab w:val="num" w:pos="1440"/>
        </w:tabs>
        <w:ind w:left="1440" w:hanging="360"/>
      </w:pPr>
      <w:rPr>
        <w:rFonts w:ascii="Arial" w:hAnsi="Arial" w:hint="default"/>
      </w:rPr>
    </w:lvl>
    <w:lvl w:ilvl="2" w:tplc="421A2E94" w:tentative="1">
      <w:start w:val="1"/>
      <w:numFmt w:val="bullet"/>
      <w:lvlText w:val="-"/>
      <w:lvlJc w:val="left"/>
      <w:pPr>
        <w:tabs>
          <w:tab w:val="num" w:pos="2160"/>
        </w:tabs>
        <w:ind w:left="2160" w:hanging="360"/>
      </w:pPr>
      <w:rPr>
        <w:rFonts w:ascii="Arial" w:hAnsi="Arial" w:hint="default"/>
      </w:rPr>
    </w:lvl>
    <w:lvl w:ilvl="3" w:tplc="512C9D42" w:tentative="1">
      <w:start w:val="1"/>
      <w:numFmt w:val="bullet"/>
      <w:lvlText w:val="-"/>
      <w:lvlJc w:val="left"/>
      <w:pPr>
        <w:tabs>
          <w:tab w:val="num" w:pos="2880"/>
        </w:tabs>
        <w:ind w:left="2880" w:hanging="360"/>
      </w:pPr>
      <w:rPr>
        <w:rFonts w:ascii="Arial" w:hAnsi="Arial" w:hint="default"/>
      </w:rPr>
    </w:lvl>
    <w:lvl w:ilvl="4" w:tplc="596E697C" w:tentative="1">
      <w:start w:val="1"/>
      <w:numFmt w:val="bullet"/>
      <w:lvlText w:val="-"/>
      <w:lvlJc w:val="left"/>
      <w:pPr>
        <w:tabs>
          <w:tab w:val="num" w:pos="3600"/>
        </w:tabs>
        <w:ind w:left="3600" w:hanging="360"/>
      </w:pPr>
      <w:rPr>
        <w:rFonts w:ascii="Arial" w:hAnsi="Arial" w:hint="default"/>
      </w:rPr>
    </w:lvl>
    <w:lvl w:ilvl="5" w:tplc="3EBCFC08" w:tentative="1">
      <w:start w:val="1"/>
      <w:numFmt w:val="bullet"/>
      <w:lvlText w:val="-"/>
      <w:lvlJc w:val="left"/>
      <w:pPr>
        <w:tabs>
          <w:tab w:val="num" w:pos="4320"/>
        </w:tabs>
        <w:ind w:left="4320" w:hanging="360"/>
      </w:pPr>
      <w:rPr>
        <w:rFonts w:ascii="Arial" w:hAnsi="Arial" w:hint="default"/>
      </w:rPr>
    </w:lvl>
    <w:lvl w:ilvl="6" w:tplc="68CA8350" w:tentative="1">
      <w:start w:val="1"/>
      <w:numFmt w:val="bullet"/>
      <w:lvlText w:val="-"/>
      <w:lvlJc w:val="left"/>
      <w:pPr>
        <w:tabs>
          <w:tab w:val="num" w:pos="5040"/>
        </w:tabs>
        <w:ind w:left="5040" w:hanging="360"/>
      </w:pPr>
      <w:rPr>
        <w:rFonts w:ascii="Arial" w:hAnsi="Arial" w:hint="default"/>
      </w:rPr>
    </w:lvl>
    <w:lvl w:ilvl="7" w:tplc="07A495BE" w:tentative="1">
      <w:start w:val="1"/>
      <w:numFmt w:val="bullet"/>
      <w:lvlText w:val="-"/>
      <w:lvlJc w:val="left"/>
      <w:pPr>
        <w:tabs>
          <w:tab w:val="num" w:pos="5760"/>
        </w:tabs>
        <w:ind w:left="5760" w:hanging="360"/>
      </w:pPr>
      <w:rPr>
        <w:rFonts w:ascii="Arial" w:hAnsi="Arial" w:hint="default"/>
      </w:rPr>
    </w:lvl>
    <w:lvl w:ilvl="8" w:tplc="167AB1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E037EE"/>
    <w:multiLevelType w:val="hybridMultilevel"/>
    <w:tmpl w:val="B8680476"/>
    <w:lvl w:ilvl="0" w:tplc="87B82EA0">
      <w:start w:val="1"/>
      <w:numFmt w:val="bullet"/>
      <w:lvlText w:val="-"/>
      <w:lvlJc w:val="left"/>
      <w:pPr>
        <w:tabs>
          <w:tab w:val="num" w:pos="720"/>
        </w:tabs>
        <w:ind w:left="720" w:hanging="360"/>
      </w:pPr>
      <w:rPr>
        <w:rFonts w:ascii="Arial" w:hAnsi="Arial" w:hint="default"/>
      </w:rPr>
    </w:lvl>
    <w:lvl w:ilvl="1" w:tplc="1D3ABA08" w:tentative="1">
      <w:start w:val="1"/>
      <w:numFmt w:val="bullet"/>
      <w:lvlText w:val="-"/>
      <w:lvlJc w:val="left"/>
      <w:pPr>
        <w:tabs>
          <w:tab w:val="num" w:pos="1440"/>
        </w:tabs>
        <w:ind w:left="1440" w:hanging="360"/>
      </w:pPr>
      <w:rPr>
        <w:rFonts w:ascii="Arial" w:hAnsi="Arial" w:hint="default"/>
      </w:rPr>
    </w:lvl>
    <w:lvl w:ilvl="2" w:tplc="39DC1410" w:tentative="1">
      <w:start w:val="1"/>
      <w:numFmt w:val="bullet"/>
      <w:lvlText w:val="-"/>
      <w:lvlJc w:val="left"/>
      <w:pPr>
        <w:tabs>
          <w:tab w:val="num" w:pos="2160"/>
        </w:tabs>
        <w:ind w:left="2160" w:hanging="360"/>
      </w:pPr>
      <w:rPr>
        <w:rFonts w:ascii="Arial" w:hAnsi="Arial" w:hint="default"/>
      </w:rPr>
    </w:lvl>
    <w:lvl w:ilvl="3" w:tplc="0674E6B6" w:tentative="1">
      <w:start w:val="1"/>
      <w:numFmt w:val="bullet"/>
      <w:lvlText w:val="-"/>
      <w:lvlJc w:val="left"/>
      <w:pPr>
        <w:tabs>
          <w:tab w:val="num" w:pos="2880"/>
        </w:tabs>
        <w:ind w:left="2880" w:hanging="360"/>
      </w:pPr>
      <w:rPr>
        <w:rFonts w:ascii="Arial" w:hAnsi="Arial" w:hint="default"/>
      </w:rPr>
    </w:lvl>
    <w:lvl w:ilvl="4" w:tplc="50FC6C2E" w:tentative="1">
      <w:start w:val="1"/>
      <w:numFmt w:val="bullet"/>
      <w:lvlText w:val="-"/>
      <w:lvlJc w:val="left"/>
      <w:pPr>
        <w:tabs>
          <w:tab w:val="num" w:pos="3600"/>
        </w:tabs>
        <w:ind w:left="3600" w:hanging="360"/>
      </w:pPr>
      <w:rPr>
        <w:rFonts w:ascii="Arial" w:hAnsi="Arial" w:hint="default"/>
      </w:rPr>
    </w:lvl>
    <w:lvl w:ilvl="5" w:tplc="80B06FA2" w:tentative="1">
      <w:start w:val="1"/>
      <w:numFmt w:val="bullet"/>
      <w:lvlText w:val="-"/>
      <w:lvlJc w:val="left"/>
      <w:pPr>
        <w:tabs>
          <w:tab w:val="num" w:pos="4320"/>
        </w:tabs>
        <w:ind w:left="4320" w:hanging="360"/>
      </w:pPr>
      <w:rPr>
        <w:rFonts w:ascii="Arial" w:hAnsi="Arial" w:hint="default"/>
      </w:rPr>
    </w:lvl>
    <w:lvl w:ilvl="6" w:tplc="00DC44EA" w:tentative="1">
      <w:start w:val="1"/>
      <w:numFmt w:val="bullet"/>
      <w:lvlText w:val="-"/>
      <w:lvlJc w:val="left"/>
      <w:pPr>
        <w:tabs>
          <w:tab w:val="num" w:pos="5040"/>
        </w:tabs>
        <w:ind w:left="5040" w:hanging="360"/>
      </w:pPr>
      <w:rPr>
        <w:rFonts w:ascii="Arial" w:hAnsi="Arial" w:hint="default"/>
      </w:rPr>
    </w:lvl>
    <w:lvl w:ilvl="7" w:tplc="20DE5BBC" w:tentative="1">
      <w:start w:val="1"/>
      <w:numFmt w:val="bullet"/>
      <w:lvlText w:val="-"/>
      <w:lvlJc w:val="left"/>
      <w:pPr>
        <w:tabs>
          <w:tab w:val="num" w:pos="5760"/>
        </w:tabs>
        <w:ind w:left="5760" w:hanging="360"/>
      </w:pPr>
      <w:rPr>
        <w:rFonts w:ascii="Arial" w:hAnsi="Arial" w:hint="default"/>
      </w:rPr>
    </w:lvl>
    <w:lvl w:ilvl="8" w:tplc="D7D839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1B2706"/>
    <w:multiLevelType w:val="hybridMultilevel"/>
    <w:tmpl w:val="94AABD4A"/>
    <w:lvl w:ilvl="0" w:tplc="77B6FF4A">
      <w:start w:val="1"/>
      <w:numFmt w:val="bullet"/>
      <w:lvlText w:val="-"/>
      <w:lvlJc w:val="left"/>
      <w:pPr>
        <w:tabs>
          <w:tab w:val="num" w:pos="720"/>
        </w:tabs>
        <w:ind w:left="720" w:hanging="360"/>
      </w:pPr>
      <w:rPr>
        <w:rFonts w:ascii="Arial" w:hAnsi="Arial" w:hint="default"/>
      </w:rPr>
    </w:lvl>
    <w:lvl w:ilvl="1" w:tplc="7D162528" w:tentative="1">
      <w:start w:val="1"/>
      <w:numFmt w:val="bullet"/>
      <w:lvlText w:val="-"/>
      <w:lvlJc w:val="left"/>
      <w:pPr>
        <w:tabs>
          <w:tab w:val="num" w:pos="1440"/>
        </w:tabs>
        <w:ind w:left="1440" w:hanging="360"/>
      </w:pPr>
      <w:rPr>
        <w:rFonts w:ascii="Arial" w:hAnsi="Arial" w:hint="default"/>
      </w:rPr>
    </w:lvl>
    <w:lvl w:ilvl="2" w:tplc="E7428E58" w:tentative="1">
      <w:start w:val="1"/>
      <w:numFmt w:val="bullet"/>
      <w:lvlText w:val="-"/>
      <w:lvlJc w:val="left"/>
      <w:pPr>
        <w:tabs>
          <w:tab w:val="num" w:pos="2160"/>
        </w:tabs>
        <w:ind w:left="2160" w:hanging="360"/>
      </w:pPr>
      <w:rPr>
        <w:rFonts w:ascii="Arial" w:hAnsi="Arial" w:hint="default"/>
      </w:rPr>
    </w:lvl>
    <w:lvl w:ilvl="3" w:tplc="4BCC5A36" w:tentative="1">
      <w:start w:val="1"/>
      <w:numFmt w:val="bullet"/>
      <w:lvlText w:val="-"/>
      <w:lvlJc w:val="left"/>
      <w:pPr>
        <w:tabs>
          <w:tab w:val="num" w:pos="2880"/>
        </w:tabs>
        <w:ind w:left="2880" w:hanging="360"/>
      </w:pPr>
      <w:rPr>
        <w:rFonts w:ascii="Arial" w:hAnsi="Arial" w:hint="default"/>
      </w:rPr>
    </w:lvl>
    <w:lvl w:ilvl="4" w:tplc="2346B476" w:tentative="1">
      <w:start w:val="1"/>
      <w:numFmt w:val="bullet"/>
      <w:lvlText w:val="-"/>
      <w:lvlJc w:val="left"/>
      <w:pPr>
        <w:tabs>
          <w:tab w:val="num" w:pos="3600"/>
        </w:tabs>
        <w:ind w:left="3600" w:hanging="360"/>
      </w:pPr>
      <w:rPr>
        <w:rFonts w:ascii="Arial" w:hAnsi="Arial" w:hint="default"/>
      </w:rPr>
    </w:lvl>
    <w:lvl w:ilvl="5" w:tplc="A4A4C3DA" w:tentative="1">
      <w:start w:val="1"/>
      <w:numFmt w:val="bullet"/>
      <w:lvlText w:val="-"/>
      <w:lvlJc w:val="left"/>
      <w:pPr>
        <w:tabs>
          <w:tab w:val="num" w:pos="4320"/>
        </w:tabs>
        <w:ind w:left="4320" w:hanging="360"/>
      </w:pPr>
      <w:rPr>
        <w:rFonts w:ascii="Arial" w:hAnsi="Arial" w:hint="default"/>
      </w:rPr>
    </w:lvl>
    <w:lvl w:ilvl="6" w:tplc="2A3E179C" w:tentative="1">
      <w:start w:val="1"/>
      <w:numFmt w:val="bullet"/>
      <w:lvlText w:val="-"/>
      <w:lvlJc w:val="left"/>
      <w:pPr>
        <w:tabs>
          <w:tab w:val="num" w:pos="5040"/>
        </w:tabs>
        <w:ind w:left="5040" w:hanging="360"/>
      </w:pPr>
      <w:rPr>
        <w:rFonts w:ascii="Arial" w:hAnsi="Arial" w:hint="default"/>
      </w:rPr>
    </w:lvl>
    <w:lvl w:ilvl="7" w:tplc="2FDE9E28" w:tentative="1">
      <w:start w:val="1"/>
      <w:numFmt w:val="bullet"/>
      <w:lvlText w:val="-"/>
      <w:lvlJc w:val="left"/>
      <w:pPr>
        <w:tabs>
          <w:tab w:val="num" w:pos="5760"/>
        </w:tabs>
        <w:ind w:left="5760" w:hanging="360"/>
      </w:pPr>
      <w:rPr>
        <w:rFonts w:ascii="Arial" w:hAnsi="Arial" w:hint="default"/>
      </w:rPr>
    </w:lvl>
    <w:lvl w:ilvl="8" w:tplc="103C2A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C341AC"/>
    <w:multiLevelType w:val="hybridMultilevel"/>
    <w:tmpl w:val="4D60BABE"/>
    <w:lvl w:ilvl="0" w:tplc="9C68C00E">
      <w:start w:val="1"/>
      <w:numFmt w:val="bullet"/>
      <w:lvlText w:val="-"/>
      <w:lvlJc w:val="left"/>
      <w:pPr>
        <w:tabs>
          <w:tab w:val="num" w:pos="720"/>
        </w:tabs>
        <w:ind w:left="720" w:hanging="360"/>
      </w:pPr>
      <w:rPr>
        <w:rFonts w:ascii="Arial" w:hAnsi="Arial" w:hint="default"/>
      </w:rPr>
    </w:lvl>
    <w:lvl w:ilvl="1" w:tplc="6C021770" w:tentative="1">
      <w:start w:val="1"/>
      <w:numFmt w:val="bullet"/>
      <w:lvlText w:val="-"/>
      <w:lvlJc w:val="left"/>
      <w:pPr>
        <w:tabs>
          <w:tab w:val="num" w:pos="1440"/>
        </w:tabs>
        <w:ind w:left="1440" w:hanging="360"/>
      </w:pPr>
      <w:rPr>
        <w:rFonts w:ascii="Arial" w:hAnsi="Arial" w:hint="default"/>
      </w:rPr>
    </w:lvl>
    <w:lvl w:ilvl="2" w:tplc="857210E2" w:tentative="1">
      <w:start w:val="1"/>
      <w:numFmt w:val="bullet"/>
      <w:lvlText w:val="-"/>
      <w:lvlJc w:val="left"/>
      <w:pPr>
        <w:tabs>
          <w:tab w:val="num" w:pos="2160"/>
        </w:tabs>
        <w:ind w:left="2160" w:hanging="360"/>
      </w:pPr>
      <w:rPr>
        <w:rFonts w:ascii="Arial" w:hAnsi="Arial" w:hint="default"/>
      </w:rPr>
    </w:lvl>
    <w:lvl w:ilvl="3" w:tplc="019CFD70" w:tentative="1">
      <w:start w:val="1"/>
      <w:numFmt w:val="bullet"/>
      <w:lvlText w:val="-"/>
      <w:lvlJc w:val="left"/>
      <w:pPr>
        <w:tabs>
          <w:tab w:val="num" w:pos="2880"/>
        </w:tabs>
        <w:ind w:left="2880" w:hanging="360"/>
      </w:pPr>
      <w:rPr>
        <w:rFonts w:ascii="Arial" w:hAnsi="Arial" w:hint="default"/>
      </w:rPr>
    </w:lvl>
    <w:lvl w:ilvl="4" w:tplc="6DF605B8" w:tentative="1">
      <w:start w:val="1"/>
      <w:numFmt w:val="bullet"/>
      <w:lvlText w:val="-"/>
      <w:lvlJc w:val="left"/>
      <w:pPr>
        <w:tabs>
          <w:tab w:val="num" w:pos="3600"/>
        </w:tabs>
        <w:ind w:left="3600" w:hanging="360"/>
      </w:pPr>
      <w:rPr>
        <w:rFonts w:ascii="Arial" w:hAnsi="Arial" w:hint="default"/>
      </w:rPr>
    </w:lvl>
    <w:lvl w:ilvl="5" w:tplc="A5FA167E" w:tentative="1">
      <w:start w:val="1"/>
      <w:numFmt w:val="bullet"/>
      <w:lvlText w:val="-"/>
      <w:lvlJc w:val="left"/>
      <w:pPr>
        <w:tabs>
          <w:tab w:val="num" w:pos="4320"/>
        </w:tabs>
        <w:ind w:left="4320" w:hanging="360"/>
      </w:pPr>
      <w:rPr>
        <w:rFonts w:ascii="Arial" w:hAnsi="Arial" w:hint="default"/>
      </w:rPr>
    </w:lvl>
    <w:lvl w:ilvl="6" w:tplc="3BAED098" w:tentative="1">
      <w:start w:val="1"/>
      <w:numFmt w:val="bullet"/>
      <w:lvlText w:val="-"/>
      <w:lvlJc w:val="left"/>
      <w:pPr>
        <w:tabs>
          <w:tab w:val="num" w:pos="5040"/>
        </w:tabs>
        <w:ind w:left="5040" w:hanging="360"/>
      </w:pPr>
      <w:rPr>
        <w:rFonts w:ascii="Arial" w:hAnsi="Arial" w:hint="default"/>
      </w:rPr>
    </w:lvl>
    <w:lvl w:ilvl="7" w:tplc="D8221F8E" w:tentative="1">
      <w:start w:val="1"/>
      <w:numFmt w:val="bullet"/>
      <w:lvlText w:val="-"/>
      <w:lvlJc w:val="left"/>
      <w:pPr>
        <w:tabs>
          <w:tab w:val="num" w:pos="5760"/>
        </w:tabs>
        <w:ind w:left="5760" w:hanging="360"/>
      </w:pPr>
      <w:rPr>
        <w:rFonts w:ascii="Arial" w:hAnsi="Arial" w:hint="default"/>
      </w:rPr>
    </w:lvl>
    <w:lvl w:ilvl="8" w:tplc="D21E7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F83087"/>
    <w:multiLevelType w:val="hybridMultilevel"/>
    <w:tmpl w:val="EA3CC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91444E"/>
    <w:multiLevelType w:val="hybridMultilevel"/>
    <w:tmpl w:val="EA3CC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5D1296"/>
    <w:multiLevelType w:val="hybridMultilevel"/>
    <w:tmpl w:val="4D00749C"/>
    <w:lvl w:ilvl="0" w:tplc="F8429F58">
      <w:start w:val="1"/>
      <w:numFmt w:val="bullet"/>
      <w:lvlText w:val="-"/>
      <w:lvlJc w:val="left"/>
      <w:pPr>
        <w:tabs>
          <w:tab w:val="num" w:pos="720"/>
        </w:tabs>
        <w:ind w:left="720" w:hanging="360"/>
      </w:pPr>
      <w:rPr>
        <w:rFonts w:ascii="Arial" w:hAnsi="Arial" w:hint="default"/>
      </w:rPr>
    </w:lvl>
    <w:lvl w:ilvl="1" w:tplc="7B480512" w:tentative="1">
      <w:start w:val="1"/>
      <w:numFmt w:val="bullet"/>
      <w:lvlText w:val="-"/>
      <w:lvlJc w:val="left"/>
      <w:pPr>
        <w:tabs>
          <w:tab w:val="num" w:pos="1440"/>
        </w:tabs>
        <w:ind w:left="1440" w:hanging="360"/>
      </w:pPr>
      <w:rPr>
        <w:rFonts w:ascii="Arial" w:hAnsi="Arial" w:hint="default"/>
      </w:rPr>
    </w:lvl>
    <w:lvl w:ilvl="2" w:tplc="BC3A7428" w:tentative="1">
      <w:start w:val="1"/>
      <w:numFmt w:val="bullet"/>
      <w:lvlText w:val="-"/>
      <w:lvlJc w:val="left"/>
      <w:pPr>
        <w:tabs>
          <w:tab w:val="num" w:pos="2160"/>
        </w:tabs>
        <w:ind w:left="2160" w:hanging="360"/>
      </w:pPr>
      <w:rPr>
        <w:rFonts w:ascii="Arial" w:hAnsi="Arial" w:hint="default"/>
      </w:rPr>
    </w:lvl>
    <w:lvl w:ilvl="3" w:tplc="86643DF8" w:tentative="1">
      <w:start w:val="1"/>
      <w:numFmt w:val="bullet"/>
      <w:lvlText w:val="-"/>
      <w:lvlJc w:val="left"/>
      <w:pPr>
        <w:tabs>
          <w:tab w:val="num" w:pos="2880"/>
        </w:tabs>
        <w:ind w:left="2880" w:hanging="360"/>
      </w:pPr>
      <w:rPr>
        <w:rFonts w:ascii="Arial" w:hAnsi="Arial" w:hint="default"/>
      </w:rPr>
    </w:lvl>
    <w:lvl w:ilvl="4" w:tplc="ADF28844" w:tentative="1">
      <w:start w:val="1"/>
      <w:numFmt w:val="bullet"/>
      <w:lvlText w:val="-"/>
      <w:lvlJc w:val="left"/>
      <w:pPr>
        <w:tabs>
          <w:tab w:val="num" w:pos="3600"/>
        </w:tabs>
        <w:ind w:left="3600" w:hanging="360"/>
      </w:pPr>
      <w:rPr>
        <w:rFonts w:ascii="Arial" w:hAnsi="Arial" w:hint="default"/>
      </w:rPr>
    </w:lvl>
    <w:lvl w:ilvl="5" w:tplc="2B78287A" w:tentative="1">
      <w:start w:val="1"/>
      <w:numFmt w:val="bullet"/>
      <w:lvlText w:val="-"/>
      <w:lvlJc w:val="left"/>
      <w:pPr>
        <w:tabs>
          <w:tab w:val="num" w:pos="4320"/>
        </w:tabs>
        <w:ind w:left="4320" w:hanging="360"/>
      </w:pPr>
      <w:rPr>
        <w:rFonts w:ascii="Arial" w:hAnsi="Arial" w:hint="default"/>
      </w:rPr>
    </w:lvl>
    <w:lvl w:ilvl="6" w:tplc="18469F88" w:tentative="1">
      <w:start w:val="1"/>
      <w:numFmt w:val="bullet"/>
      <w:lvlText w:val="-"/>
      <w:lvlJc w:val="left"/>
      <w:pPr>
        <w:tabs>
          <w:tab w:val="num" w:pos="5040"/>
        </w:tabs>
        <w:ind w:left="5040" w:hanging="360"/>
      </w:pPr>
      <w:rPr>
        <w:rFonts w:ascii="Arial" w:hAnsi="Arial" w:hint="default"/>
      </w:rPr>
    </w:lvl>
    <w:lvl w:ilvl="7" w:tplc="A0FC7D92" w:tentative="1">
      <w:start w:val="1"/>
      <w:numFmt w:val="bullet"/>
      <w:lvlText w:val="-"/>
      <w:lvlJc w:val="left"/>
      <w:pPr>
        <w:tabs>
          <w:tab w:val="num" w:pos="5760"/>
        </w:tabs>
        <w:ind w:left="5760" w:hanging="360"/>
      </w:pPr>
      <w:rPr>
        <w:rFonts w:ascii="Arial" w:hAnsi="Arial" w:hint="default"/>
      </w:rPr>
    </w:lvl>
    <w:lvl w:ilvl="8" w:tplc="E2D0D4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522272"/>
    <w:multiLevelType w:val="hybridMultilevel"/>
    <w:tmpl w:val="CFE08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A06121"/>
    <w:multiLevelType w:val="hybridMultilevel"/>
    <w:tmpl w:val="F9BE8D96"/>
    <w:lvl w:ilvl="0" w:tplc="18A60588">
      <w:start w:val="1"/>
      <w:numFmt w:val="bullet"/>
      <w:lvlText w:val="-"/>
      <w:lvlJc w:val="left"/>
      <w:pPr>
        <w:tabs>
          <w:tab w:val="num" w:pos="720"/>
        </w:tabs>
        <w:ind w:left="720" w:hanging="360"/>
      </w:pPr>
      <w:rPr>
        <w:rFonts w:ascii="Arial" w:hAnsi="Arial" w:hint="default"/>
      </w:rPr>
    </w:lvl>
    <w:lvl w:ilvl="1" w:tplc="78140806" w:tentative="1">
      <w:start w:val="1"/>
      <w:numFmt w:val="bullet"/>
      <w:lvlText w:val="-"/>
      <w:lvlJc w:val="left"/>
      <w:pPr>
        <w:tabs>
          <w:tab w:val="num" w:pos="1440"/>
        </w:tabs>
        <w:ind w:left="1440" w:hanging="360"/>
      </w:pPr>
      <w:rPr>
        <w:rFonts w:ascii="Arial" w:hAnsi="Arial" w:hint="default"/>
      </w:rPr>
    </w:lvl>
    <w:lvl w:ilvl="2" w:tplc="34F87AA2" w:tentative="1">
      <w:start w:val="1"/>
      <w:numFmt w:val="bullet"/>
      <w:lvlText w:val="-"/>
      <w:lvlJc w:val="left"/>
      <w:pPr>
        <w:tabs>
          <w:tab w:val="num" w:pos="2160"/>
        </w:tabs>
        <w:ind w:left="2160" w:hanging="360"/>
      </w:pPr>
      <w:rPr>
        <w:rFonts w:ascii="Arial" w:hAnsi="Arial" w:hint="default"/>
      </w:rPr>
    </w:lvl>
    <w:lvl w:ilvl="3" w:tplc="FDC643CC" w:tentative="1">
      <w:start w:val="1"/>
      <w:numFmt w:val="bullet"/>
      <w:lvlText w:val="-"/>
      <w:lvlJc w:val="left"/>
      <w:pPr>
        <w:tabs>
          <w:tab w:val="num" w:pos="2880"/>
        </w:tabs>
        <w:ind w:left="2880" w:hanging="360"/>
      </w:pPr>
      <w:rPr>
        <w:rFonts w:ascii="Arial" w:hAnsi="Arial" w:hint="default"/>
      </w:rPr>
    </w:lvl>
    <w:lvl w:ilvl="4" w:tplc="3C74B276" w:tentative="1">
      <w:start w:val="1"/>
      <w:numFmt w:val="bullet"/>
      <w:lvlText w:val="-"/>
      <w:lvlJc w:val="left"/>
      <w:pPr>
        <w:tabs>
          <w:tab w:val="num" w:pos="3600"/>
        </w:tabs>
        <w:ind w:left="3600" w:hanging="360"/>
      </w:pPr>
      <w:rPr>
        <w:rFonts w:ascii="Arial" w:hAnsi="Arial" w:hint="default"/>
      </w:rPr>
    </w:lvl>
    <w:lvl w:ilvl="5" w:tplc="FE6AB05C" w:tentative="1">
      <w:start w:val="1"/>
      <w:numFmt w:val="bullet"/>
      <w:lvlText w:val="-"/>
      <w:lvlJc w:val="left"/>
      <w:pPr>
        <w:tabs>
          <w:tab w:val="num" w:pos="4320"/>
        </w:tabs>
        <w:ind w:left="4320" w:hanging="360"/>
      </w:pPr>
      <w:rPr>
        <w:rFonts w:ascii="Arial" w:hAnsi="Arial" w:hint="default"/>
      </w:rPr>
    </w:lvl>
    <w:lvl w:ilvl="6" w:tplc="4BA0C3AE" w:tentative="1">
      <w:start w:val="1"/>
      <w:numFmt w:val="bullet"/>
      <w:lvlText w:val="-"/>
      <w:lvlJc w:val="left"/>
      <w:pPr>
        <w:tabs>
          <w:tab w:val="num" w:pos="5040"/>
        </w:tabs>
        <w:ind w:left="5040" w:hanging="360"/>
      </w:pPr>
      <w:rPr>
        <w:rFonts w:ascii="Arial" w:hAnsi="Arial" w:hint="default"/>
      </w:rPr>
    </w:lvl>
    <w:lvl w:ilvl="7" w:tplc="8FDECB42" w:tentative="1">
      <w:start w:val="1"/>
      <w:numFmt w:val="bullet"/>
      <w:lvlText w:val="-"/>
      <w:lvlJc w:val="left"/>
      <w:pPr>
        <w:tabs>
          <w:tab w:val="num" w:pos="5760"/>
        </w:tabs>
        <w:ind w:left="5760" w:hanging="360"/>
      </w:pPr>
      <w:rPr>
        <w:rFonts w:ascii="Arial" w:hAnsi="Arial" w:hint="default"/>
      </w:rPr>
    </w:lvl>
    <w:lvl w:ilvl="8" w:tplc="3AAC50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668BF"/>
    <w:multiLevelType w:val="hybridMultilevel"/>
    <w:tmpl w:val="5AE20390"/>
    <w:lvl w:ilvl="0" w:tplc="FE2EE6F0">
      <w:start w:val="1"/>
      <w:numFmt w:val="bullet"/>
      <w:lvlText w:val="-"/>
      <w:lvlJc w:val="left"/>
      <w:pPr>
        <w:tabs>
          <w:tab w:val="num" w:pos="720"/>
        </w:tabs>
        <w:ind w:left="720" w:hanging="360"/>
      </w:pPr>
      <w:rPr>
        <w:rFonts w:ascii="Arial" w:hAnsi="Arial" w:hint="default"/>
      </w:rPr>
    </w:lvl>
    <w:lvl w:ilvl="1" w:tplc="49A83D7A" w:tentative="1">
      <w:start w:val="1"/>
      <w:numFmt w:val="bullet"/>
      <w:lvlText w:val="-"/>
      <w:lvlJc w:val="left"/>
      <w:pPr>
        <w:tabs>
          <w:tab w:val="num" w:pos="1440"/>
        </w:tabs>
        <w:ind w:left="1440" w:hanging="360"/>
      </w:pPr>
      <w:rPr>
        <w:rFonts w:ascii="Arial" w:hAnsi="Arial" w:hint="default"/>
      </w:rPr>
    </w:lvl>
    <w:lvl w:ilvl="2" w:tplc="D7CC3010" w:tentative="1">
      <w:start w:val="1"/>
      <w:numFmt w:val="bullet"/>
      <w:lvlText w:val="-"/>
      <w:lvlJc w:val="left"/>
      <w:pPr>
        <w:tabs>
          <w:tab w:val="num" w:pos="2160"/>
        </w:tabs>
        <w:ind w:left="2160" w:hanging="360"/>
      </w:pPr>
      <w:rPr>
        <w:rFonts w:ascii="Arial" w:hAnsi="Arial" w:hint="default"/>
      </w:rPr>
    </w:lvl>
    <w:lvl w:ilvl="3" w:tplc="2A4CF3C6" w:tentative="1">
      <w:start w:val="1"/>
      <w:numFmt w:val="bullet"/>
      <w:lvlText w:val="-"/>
      <w:lvlJc w:val="left"/>
      <w:pPr>
        <w:tabs>
          <w:tab w:val="num" w:pos="2880"/>
        </w:tabs>
        <w:ind w:left="2880" w:hanging="360"/>
      </w:pPr>
      <w:rPr>
        <w:rFonts w:ascii="Arial" w:hAnsi="Arial" w:hint="default"/>
      </w:rPr>
    </w:lvl>
    <w:lvl w:ilvl="4" w:tplc="833AAF84" w:tentative="1">
      <w:start w:val="1"/>
      <w:numFmt w:val="bullet"/>
      <w:lvlText w:val="-"/>
      <w:lvlJc w:val="left"/>
      <w:pPr>
        <w:tabs>
          <w:tab w:val="num" w:pos="3600"/>
        </w:tabs>
        <w:ind w:left="3600" w:hanging="360"/>
      </w:pPr>
      <w:rPr>
        <w:rFonts w:ascii="Arial" w:hAnsi="Arial" w:hint="default"/>
      </w:rPr>
    </w:lvl>
    <w:lvl w:ilvl="5" w:tplc="E84AE2C4" w:tentative="1">
      <w:start w:val="1"/>
      <w:numFmt w:val="bullet"/>
      <w:lvlText w:val="-"/>
      <w:lvlJc w:val="left"/>
      <w:pPr>
        <w:tabs>
          <w:tab w:val="num" w:pos="4320"/>
        </w:tabs>
        <w:ind w:left="4320" w:hanging="360"/>
      </w:pPr>
      <w:rPr>
        <w:rFonts w:ascii="Arial" w:hAnsi="Arial" w:hint="default"/>
      </w:rPr>
    </w:lvl>
    <w:lvl w:ilvl="6" w:tplc="376CB040" w:tentative="1">
      <w:start w:val="1"/>
      <w:numFmt w:val="bullet"/>
      <w:lvlText w:val="-"/>
      <w:lvlJc w:val="left"/>
      <w:pPr>
        <w:tabs>
          <w:tab w:val="num" w:pos="5040"/>
        </w:tabs>
        <w:ind w:left="5040" w:hanging="360"/>
      </w:pPr>
      <w:rPr>
        <w:rFonts w:ascii="Arial" w:hAnsi="Arial" w:hint="default"/>
      </w:rPr>
    </w:lvl>
    <w:lvl w:ilvl="7" w:tplc="FAA410E6" w:tentative="1">
      <w:start w:val="1"/>
      <w:numFmt w:val="bullet"/>
      <w:lvlText w:val="-"/>
      <w:lvlJc w:val="left"/>
      <w:pPr>
        <w:tabs>
          <w:tab w:val="num" w:pos="5760"/>
        </w:tabs>
        <w:ind w:left="5760" w:hanging="360"/>
      </w:pPr>
      <w:rPr>
        <w:rFonts w:ascii="Arial" w:hAnsi="Arial" w:hint="default"/>
      </w:rPr>
    </w:lvl>
    <w:lvl w:ilvl="8" w:tplc="B0E0FA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B654CF"/>
    <w:multiLevelType w:val="hybridMultilevel"/>
    <w:tmpl w:val="9328E4C2"/>
    <w:lvl w:ilvl="0" w:tplc="8E3C15D6">
      <w:start w:val="1"/>
      <w:numFmt w:val="bullet"/>
      <w:lvlText w:val="-"/>
      <w:lvlJc w:val="left"/>
      <w:pPr>
        <w:tabs>
          <w:tab w:val="num" w:pos="720"/>
        </w:tabs>
        <w:ind w:left="720" w:hanging="360"/>
      </w:pPr>
      <w:rPr>
        <w:rFonts w:ascii="Arial" w:hAnsi="Arial" w:hint="default"/>
      </w:rPr>
    </w:lvl>
    <w:lvl w:ilvl="1" w:tplc="358A3594" w:tentative="1">
      <w:start w:val="1"/>
      <w:numFmt w:val="bullet"/>
      <w:lvlText w:val="-"/>
      <w:lvlJc w:val="left"/>
      <w:pPr>
        <w:tabs>
          <w:tab w:val="num" w:pos="1440"/>
        </w:tabs>
        <w:ind w:left="1440" w:hanging="360"/>
      </w:pPr>
      <w:rPr>
        <w:rFonts w:ascii="Arial" w:hAnsi="Arial" w:hint="default"/>
      </w:rPr>
    </w:lvl>
    <w:lvl w:ilvl="2" w:tplc="E0408CD6" w:tentative="1">
      <w:start w:val="1"/>
      <w:numFmt w:val="bullet"/>
      <w:lvlText w:val="-"/>
      <w:lvlJc w:val="left"/>
      <w:pPr>
        <w:tabs>
          <w:tab w:val="num" w:pos="2160"/>
        </w:tabs>
        <w:ind w:left="2160" w:hanging="360"/>
      </w:pPr>
      <w:rPr>
        <w:rFonts w:ascii="Arial" w:hAnsi="Arial" w:hint="default"/>
      </w:rPr>
    </w:lvl>
    <w:lvl w:ilvl="3" w:tplc="9AB4871A" w:tentative="1">
      <w:start w:val="1"/>
      <w:numFmt w:val="bullet"/>
      <w:lvlText w:val="-"/>
      <w:lvlJc w:val="left"/>
      <w:pPr>
        <w:tabs>
          <w:tab w:val="num" w:pos="2880"/>
        </w:tabs>
        <w:ind w:left="2880" w:hanging="360"/>
      </w:pPr>
      <w:rPr>
        <w:rFonts w:ascii="Arial" w:hAnsi="Arial" w:hint="default"/>
      </w:rPr>
    </w:lvl>
    <w:lvl w:ilvl="4" w:tplc="75E43AC0" w:tentative="1">
      <w:start w:val="1"/>
      <w:numFmt w:val="bullet"/>
      <w:lvlText w:val="-"/>
      <w:lvlJc w:val="left"/>
      <w:pPr>
        <w:tabs>
          <w:tab w:val="num" w:pos="3600"/>
        </w:tabs>
        <w:ind w:left="3600" w:hanging="360"/>
      </w:pPr>
      <w:rPr>
        <w:rFonts w:ascii="Arial" w:hAnsi="Arial" w:hint="default"/>
      </w:rPr>
    </w:lvl>
    <w:lvl w:ilvl="5" w:tplc="668EE408" w:tentative="1">
      <w:start w:val="1"/>
      <w:numFmt w:val="bullet"/>
      <w:lvlText w:val="-"/>
      <w:lvlJc w:val="left"/>
      <w:pPr>
        <w:tabs>
          <w:tab w:val="num" w:pos="4320"/>
        </w:tabs>
        <w:ind w:left="4320" w:hanging="360"/>
      </w:pPr>
      <w:rPr>
        <w:rFonts w:ascii="Arial" w:hAnsi="Arial" w:hint="default"/>
      </w:rPr>
    </w:lvl>
    <w:lvl w:ilvl="6" w:tplc="971EE8A8" w:tentative="1">
      <w:start w:val="1"/>
      <w:numFmt w:val="bullet"/>
      <w:lvlText w:val="-"/>
      <w:lvlJc w:val="left"/>
      <w:pPr>
        <w:tabs>
          <w:tab w:val="num" w:pos="5040"/>
        </w:tabs>
        <w:ind w:left="5040" w:hanging="360"/>
      </w:pPr>
      <w:rPr>
        <w:rFonts w:ascii="Arial" w:hAnsi="Arial" w:hint="default"/>
      </w:rPr>
    </w:lvl>
    <w:lvl w:ilvl="7" w:tplc="0A2A53B4" w:tentative="1">
      <w:start w:val="1"/>
      <w:numFmt w:val="bullet"/>
      <w:lvlText w:val="-"/>
      <w:lvlJc w:val="left"/>
      <w:pPr>
        <w:tabs>
          <w:tab w:val="num" w:pos="5760"/>
        </w:tabs>
        <w:ind w:left="5760" w:hanging="360"/>
      </w:pPr>
      <w:rPr>
        <w:rFonts w:ascii="Arial" w:hAnsi="Arial" w:hint="default"/>
      </w:rPr>
    </w:lvl>
    <w:lvl w:ilvl="8" w:tplc="9B0473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6420EA"/>
    <w:multiLevelType w:val="hybridMultilevel"/>
    <w:tmpl w:val="BE381DE6"/>
    <w:lvl w:ilvl="0" w:tplc="8BEC7590">
      <w:start w:val="1"/>
      <w:numFmt w:val="bullet"/>
      <w:lvlText w:val="-"/>
      <w:lvlJc w:val="left"/>
      <w:pPr>
        <w:tabs>
          <w:tab w:val="num" w:pos="720"/>
        </w:tabs>
        <w:ind w:left="720" w:hanging="360"/>
      </w:pPr>
      <w:rPr>
        <w:rFonts w:ascii="Arial" w:hAnsi="Arial" w:hint="default"/>
      </w:rPr>
    </w:lvl>
    <w:lvl w:ilvl="1" w:tplc="7BACD1E4" w:tentative="1">
      <w:start w:val="1"/>
      <w:numFmt w:val="bullet"/>
      <w:lvlText w:val="-"/>
      <w:lvlJc w:val="left"/>
      <w:pPr>
        <w:tabs>
          <w:tab w:val="num" w:pos="1440"/>
        </w:tabs>
        <w:ind w:left="1440" w:hanging="360"/>
      </w:pPr>
      <w:rPr>
        <w:rFonts w:ascii="Arial" w:hAnsi="Arial" w:hint="default"/>
      </w:rPr>
    </w:lvl>
    <w:lvl w:ilvl="2" w:tplc="D654E01A" w:tentative="1">
      <w:start w:val="1"/>
      <w:numFmt w:val="bullet"/>
      <w:lvlText w:val="-"/>
      <w:lvlJc w:val="left"/>
      <w:pPr>
        <w:tabs>
          <w:tab w:val="num" w:pos="2160"/>
        </w:tabs>
        <w:ind w:left="2160" w:hanging="360"/>
      </w:pPr>
      <w:rPr>
        <w:rFonts w:ascii="Arial" w:hAnsi="Arial" w:hint="default"/>
      </w:rPr>
    </w:lvl>
    <w:lvl w:ilvl="3" w:tplc="04AEE870" w:tentative="1">
      <w:start w:val="1"/>
      <w:numFmt w:val="bullet"/>
      <w:lvlText w:val="-"/>
      <w:lvlJc w:val="left"/>
      <w:pPr>
        <w:tabs>
          <w:tab w:val="num" w:pos="2880"/>
        </w:tabs>
        <w:ind w:left="2880" w:hanging="360"/>
      </w:pPr>
      <w:rPr>
        <w:rFonts w:ascii="Arial" w:hAnsi="Arial" w:hint="default"/>
      </w:rPr>
    </w:lvl>
    <w:lvl w:ilvl="4" w:tplc="A676A378" w:tentative="1">
      <w:start w:val="1"/>
      <w:numFmt w:val="bullet"/>
      <w:lvlText w:val="-"/>
      <w:lvlJc w:val="left"/>
      <w:pPr>
        <w:tabs>
          <w:tab w:val="num" w:pos="3600"/>
        </w:tabs>
        <w:ind w:left="3600" w:hanging="360"/>
      </w:pPr>
      <w:rPr>
        <w:rFonts w:ascii="Arial" w:hAnsi="Arial" w:hint="default"/>
      </w:rPr>
    </w:lvl>
    <w:lvl w:ilvl="5" w:tplc="A2E47240" w:tentative="1">
      <w:start w:val="1"/>
      <w:numFmt w:val="bullet"/>
      <w:lvlText w:val="-"/>
      <w:lvlJc w:val="left"/>
      <w:pPr>
        <w:tabs>
          <w:tab w:val="num" w:pos="4320"/>
        </w:tabs>
        <w:ind w:left="4320" w:hanging="360"/>
      </w:pPr>
      <w:rPr>
        <w:rFonts w:ascii="Arial" w:hAnsi="Arial" w:hint="default"/>
      </w:rPr>
    </w:lvl>
    <w:lvl w:ilvl="6" w:tplc="750CCC80" w:tentative="1">
      <w:start w:val="1"/>
      <w:numFmt w:val="bullet"/>
      <w:lvlText w:val="-"/>
      <w:lvlJc w:val="left"/>
      <w:pPr>
        <w:tabs>
          <w:tab w:val="num" w:pos="5040"/>
        </w:tabs>
        <w:ind w:left="5040" w:hanging="360"/>
      </w:pPr>
      <w:rPr>
        <w:rFonts w:ascii="Arial" w:hAnsi="Arial" w:hint="default"/>
      </w:rPr>
    </w:lvl>
    <w:lvl w:ilvl="7" w:tplc="C6646A48" w:tentative="1">
      <w:start w:val="1"/>
      <w:numFmt w:val="bullet"/>
      <w:lvlText w:val="-"/>
      <w:lvlJc w:val="left"/>
      <w:pPr>
        <w:tabs>
          <w:tab w:val="num" w:pos="5760"/>
        </w:tabs>
        <w:ind w:left="5760" w:hanging="360"/>
      </w:pPr>
      <w:rPr>
        <w:rFonts w:ascii="Arial" w:hAnsi="Arial" w:hint="default"/>
      </w:rPr>
    </w:lvl>
    <w:lvl w:ilvl="8" w:tplc="A96875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2E19DC"/>
    <w:multiLevelType w:val="hybridMultilevel"/>
    <w:tmpl w:val="6B3C6E76"/>
    <w:lvl w:ilvl="0" w:tplc="334C7400">
      <w:start w:val="1"/>
      <w:numFmt w:val="bullet"/>
      <w:lvlText w:val="-"/>
      <w:lvlJc w:val="left"/>
      <w:pPr>
        <w:tabs>
          <w:tab w:val="num" w:pos="720"/>
        </w:tabs>
        <w:ind w:left="720" w:hanging="360"/>
      </w:pPr>
      <w:rPr>
        <w:rFonts w:ascii="Arial" w:hAnsi="Arial" w:hint="default"/>
      </w:rPr>
    </w:lvl>
    <w:lvl w:ilvl="1" w:tplc="9E14F17A" w:tentative="1">
      <w:start w:val="1"/>
      <w:numFmt w:val="bullet"/>
      <w:lvlText w:val="-"/>
      <w:lvlJc w:val="left"/>
      <w:pPr>
        <w:tabs>
          <w:tab w:val="num" w:pos="1440"/>
        </w:tabs>
        <w:ind w:left="1440" w:hanging="360"/>
      </w:pPr>
      <w:rPr>
        <w:rFonts w:ascii="Arial" w:hAnsi="Arial" w:hint="default"/>
      </w:rPr>
    </w:lvl>
    <w:lvl w:ilvl="2" w:tplc="94C60436" w:tentative="1">
      <w:start w:val="1"/>
      <w:numFmt w:val="bullet"/>
      <w:lvlText w:val="-"/>
      <w:lvlJc w:val="left"/>
      <w:pPr>
        <w:tabs>
          <w:tab w:val="num" w:pos="2160"/>
        </w:tabs>
        <w:ind w:left="2160" w:hanging="360"/>
      </w:pPr>
      <w:rPr>
        <w:rFonts w:ascii="Arial" w:hAnsi="Arial" w:hint="default"/>
      </w:rPr>
    </w:lvl>
    <w:lvl w:ilvl="3" w:tplc="E9ACF53C" w:tentative="1">
      <w:start w:val="1"/>
      <w:numFmt w:val="bullet"/>
      <w:lvlText w:val="-"/>
      <w:lvlJc w:val="left"/>
      <w:pPr>
        <w:tabs>
          <w:tab w:val="num" w:pos="2880"/>
        </w:tabs>
        <w:ind w:left="2880" w:hanging="360"/>
      </w:pPr>
      <w:rPr>
        <w:rFonts w:ascii="Arial" w:hAnsi="Arial" w:hint="default"/>
      </w:rPr>
    </w:lvl>
    <w:lvl w:ilvl="4" w:tplc="C40C9666" w:tentative="1">
      <w:start w:val="1"/>
      <w:numFmt w:val="bullet"/>
      <w:lvlText w:val="-"/>
      <w:lvlJc w:val="left"/>
      <w:pPr>
        <w:tabs>
          <w:tab w:val="num" w:pos="3600"/>
        </w:tabs>
        <w:ind w:left="3600" w:hanging="360"/>
      </w:pPr>
      <w:rPr>
        <w:rFonts w:ascii="Arial" w:hAnsi="Arial" w:hint="default"/>
      </w:rPr>
    </w:lvl>
    <w:lvl w:ilvl="5" w:tplc="6054F260" w:tentative="1">
      <w:start w:val="1"/>
      <w:numFmt w:val="bullet"/>
      <w:lvlText w:val="-"/>
      <w:lvlJc w:val="left"/>
      <w:pPr>
        <w:tabs>
          <w:tab w:val="num" w:pos="4320"/>
        </w:tabs>
        <w:ind w:left="4320" w:hanging="360"/>
      </w:pPr>
      <w:rPr>
        <w:rFonts w:ascii="Arial" w:hAnsi="Arial" w:hint="default"/>
      </w:rPr>
    </w:lvl>
    <w:lvl w:ilvl="6" w:tplc="00541030" w:tentative="1">
      <w:start w:val="1"/>
      <w:numFmt w:val="bullet"/>
      <w:lvlText w:val="-"/>
      <w:lvlJc w:val="left"/>
      <w:pPr>
        <w:tabs>
          <w:tab w:val="num" w:pos="5040"/>
        </w:tabs>
        <w:ind w:left="5040" w:hanging="360"/>
      </w:pPr>
      <w:rPr>
        <w:rFonts w:ascii="Arial" w:hAnsi="Arial" w:hint="default"/>
      </w:rPr>
    </w:lvl>
    <w:lvl w:ilvl="7" w:tplc="675E22EA" w:tentative="1">
      <w:start w:val="1"/>
      <w:numFmt w:val="bullet"/>
      <w:lvlText w:val="-"/>
      <w:lvlJc w:val="left"/>
      <w:pPr>
        <w:tabs>
          <w:tab w:val="num" w:pos="5760"/>
        </w:tabs>
        <w:ind w:left="5760" w:hanging="360"/>
      </w:pPr>
      <w:rPr>
        <w:rFonts w:ascii="Arial" w:hAnsi="Arial" w:hint="default"/>
      </w:rPr>
    </w:lvl>
    <w:lvl w:ilvl="8" w:tplc="BA5284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EF34AD"/>
    <w:multiLevelType w:val="hybridMultilevel"/>
    <w:tmpl w:val="0C626480"/>
    <w:lvl w:ilvl="0" w:tplc="EAE4B170">
      <w:start w:val="1"/>
      <w:numFmt w:val="bullet"/>
      <w:lvlText w:val="-"/>
      <w:lvlJc w:val="left"/>
      <w:pPr>
        <w:tabs>
          <w:tab w:val="num" w:pos="720"/>
        </w:tabs>
        <w:ind w:left="720" w:hanging="360"/>
      </w:pPr>
      <w:rPr>
        <w:rFonts w:ascii="Arial" w:hAnsi="Arial" w:hint="default"/>
      </w:rPr>
    </w:lvl>
    <w:lvl w:ilvl="1" w:tplc="8E22551A" w:tentative="1">
      <w:start w:val="1"/>
      <w:numFmt w:val="bullet"/>
      <w:lvlText w:val="-"/>
      <w:lvlJc w:val="left"/>
      <w:pPr>
        <w:tabs>
          <w:tab w:val="num" w:pos="1440"/>
        </w:tabs>
        <w:ind w:left="1440" w:hanging="360"/>
      </w:pPr>
      <w:rPr>
        <w:rFonts w:ascii="Arial" w:hAnsi="Arial" w:hint="default"/>
      </w:rPr>
    </w:lvl>
    <w:lvl w:ilvl="2" w:tplc="43A0AE88" w:tentative="1">
      <w:start w:val="1"/>
      <w:numFmt w:val="bullet"/>
      <w:lvlText w:val="-"/>
      <w:lvlJc w:val="left"/>
      <w:pPr>
        <w:tabs>
          <w:tab w:val="num" w:pos="2160"/>
        </w:tabs>
        <w:ind w:left="2160" w:hanging="360"/>
      </w:pPr>
      <w:rPr>
        <w:rFonts w:ascii="Arial" w:hAnsi="Arial" w:hint="default"/>
      </w:rPr>
    </w:lvl>
    <w:lvl w:ilvl="3" w:tplc="36DAD668" w:tentative="1">
      <w:start w:val="1"/>
      <w:numFmt w:val="bullet"/>
      <w:lvlText w:val="-"/>
      <w:lvlJc w:val="left"/>
      <w:pPr>
        <w:tabs>
          <w:tab w:val="num" w:pos="2880"/>
        </w:tabs>
        <w:ind w:left="2880" w:hanging="360"/>
      </w:pPr>
      <w:rPr>
        <w:rFonts w:ascii="Arial" w:hAnsi="Arial" w:hint="default"/>
      </w:rPr>
    </w:lvl>
    <w:lvl w:ilvl="4" w:tplc="1674CE12" w:tentative="1">
      <w:start w:val="1"/>
      <w:numFmt w:val="bullet"/>
      <w:lvlText w:val="-"/>
      <w:lvlJc w:val="left"/>
      <w:pPr>
        <w:tabs>
          <w:tab w:val="num" w:pos="3600"/>
        </w:tabs>
        <w:ind w:left="3600" w:hanging="360"/>
      </w:pPr>
      <w:rPr>
        <w:rFonts w:ascii="Arial" w:hAnsi="Arial" w:hint="default"/>
      </w:rPr>
    </w:lvl>
    <w:lvl w:ilvl="5" w:tplc="46B26AD2" w:tentative="1">
      <w:start w:val="1"/>
      <w:numFmt w:val="bullet"/>
      <w:lvlText w:val="-"/>
      <w:lvlJc w:val="left"/>
      <w:pPr>
        <w:tabs>
          <w:tab w:val="num" w:pos="4320"/>
        </w:tabs>
        <w:ind w:left="4320" w:hanging="360"/>
      </w:pPr>
      <w:rPr>
        <w:rFonts w:ascii="Arial" w:hAnsi="Arial" w:hint="default"/>
      </w:rPr>
    </w:lvl>
    <w:lvl w:ilvl="6" w:tplc="8BEEA17A" w:tentative="1">
      <w:start w:val="1"/>
      <w:numFmt w:val="bullet"/>
      <w:lvlText w:val="-"/>
      <w:lvlJc w:val="left"/>
      <w:pPr>
        <w:tabs>
          <w:tab w:val="num" w:pos="5040"/>
        </w:tabs>
        <w:ind w:left="5040" w:hanging="360"/>
      </w:pPr>
      <w:rPr>
        <w:rFonts w:ascii="Arial" w:hAnsi="Arial" w:hint="default"/>
      </w:rPr>
    </w:lvl>
    <w:lvl w:ilvl="7" w:tplc="3656CF82" w:tentative="1">
      <w:start w:val="1"/>
      <w:numFmt w:val="bullet"/>
      <w:lvlText w:val="-"/>
      <w:lvlJc w:val="left"/>
      <w:pPr>
        <w:tabs>
          <w:tab w:val="num" w:pos="5760"/>
        </w:tabs>
        <w:ind w:left="5760" w:hanging="360"/>
      </w:pPr>
      <w:rPr>
        <w:rFonts w:ascii="Arial" w:hAnsi="Arial" w:hint="default"/>
      </w:rPr>
    </w:lvl>
    <w:lvl w:ilvl="8" w:tplc="416C50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CE054E"/>
    <w:multiLevelType w:val="hybridMultilevel"/>
    <w:tmpl w:val="63E859F0"/>
    <w:lvl w:ilvl="0" w:tplc="D21E6DFC">
      <w:start w:val="1"/>
      <w:numFmt w:val="bullet"/>
      <w:lvlText w:val="–"/>
      <w:lvlJc w:val="left"/>
      <w:pPr>
        <w:tabs>
          <w:tab w:val="num" w:pos="720"/>
        </w:tabs>
        <w:ind w:left="720" w:hanging="360"/>
      </w:pPr>
      <w:rPr>
        <w:rFonts w:ascii="Arial" w:hAnsi="Arial" w:hint="default"/>
      </w:rPr>
    </w:lvl>
    <w:lvl w:ilvl="1" w:tplc="C4349F22" w:tentative="1">
      <w:start w:val="1"/>
      <w:numFmt w:val="bullet"/>
      <w:lvlText w:val="–"/>
      <w:lvlJc w:val="left"/>
      <w:pPr>
        <w:tabs>
          <w:tab w:val="num" w:pos="1440"/>
        </w:tabs>
        <w:ind w:left="1440" w:hanging="360"/>
      </w:pPr>
      <w:rPr>
        <w:rFonts w:ascii="Arial" w:hAnsi="Arial" w:hint="default"/>
      </w:rPr>
    </w:lvl>
    <w:lvl w:ilvl="2" w:tplc="49FA85D6" w:tentative="1">
      <w:start w:val="1"/>
      <w:numFmt w:val="bullet"/>
      <w:lvlText w:val="–"/>
      <w:lvlJc w:val="left"/>
      <w:pPr>
        <w:tabs>
          <w:tab w:val="num" w:pos="2160"/>
        </w:tabs>
        <w:ind w:left="2160" w:hanging="360"/>
      </w:pPr>
      <w:rPr>
        <w:rFonts w:ascii="Arial" w:hAnsi="Arial" w:hint="default"/>
      </w:rPr>
    </w:lvl>
    <w:lvl w:ilvl="3" w:tplc="042C4E30" w:tentative="1">
      <w:start w:val="1"/>
      <w:numFmt w:val="bullet"/>
      <w:lvlText w:val="–"/>
      <w:lvlJc w:val="left"/>
      <w:pPr>
        <w:tabs>
          <w:tab w:val="num" w:pos="2880"/>
        </w:tabs>
        <w:ind w:left="2880" w:hanging="360"/>
      </w:pPr>
      <w:rPr>
        <w:rFonts w:ascii="Arial" w:hAnsi="Arial" w:hint="default"/>
      </w:rPr>
    </w:lvl>
    <w:lvl w:ilvl="4" w:tplc="ECDC6544" w:tentative="1">
      <w:start w:val="1"/>
      <w:numFmt w:val="bullet"/>
      <w:lvlText w:val="–"/>
      <w:lvlJc w:val="left"/>
      <w:pPr>
        <w:tabs>
          <w:tab w:val="num" w:pos="3600"/>
        </w:tabs>
        <w:ind w:left="3600" w:hanging="360"/>
      </w:pPr>
      <w:rPr>
        <w:rFonts w:ascii="Arial" w:hAnsi="Arial" w:hint="default"/>
      </w:rPr>
    </w:lvl>
    <w:lvl w:ilvl="5" w:tplc="7D940638" w:tentative="1">
      <w:start w:val="1"/>
      <w:numFmt w:val="bullet"/>
      <w:lvlText w:val="–"/>
      <w:lvlJc w:val="left"/>
      <w:pPr>
        <w:tabs>
          <w:tab w:val="num" w:pos="4320"/>
        </w:tabs>
        <w:ind w:left="4320" w:hanging="360"/>
      </w:pPr>
      <w:rPr>
        <w:rFonts w:ascii="Arial" w:hAnsi="Arial" w:hint="default"/>
      </w:rPr>
    </w:lvl>
    <w:lvl w:ilvl="6" w:tplc="DE0C2C6E" w:tentative="1">
      <w:start w:val="1"/>
      <w:numFmt w:val="bullet"/>
      <w:lvlText w:val="–"/>
      <w:lvlJc w:val="left"/>
      <w:pPr>
        <w:tabs>
          <w:tab w:val="num" w:pos="5040"/>
        </w:tabs>
        <w:ind w:left="5040" w:hanging="360"/>
      </w:pPr>
      <w:rPr>
        <w:rFonts w:ascii="Arial" w:hAnsi="Arial" w:hint="default"/>
      </w:rPr>
    </w:lvl>
    <w:lvl w:ilvl="7" w:tplc="D5BAD0A4" w:tentative="1">
      <w:start w:val="1"/>
      <w:numFmt w:val="bullet"/>
      <w:lvlText w:val="–"/>
      <w:lvlJc w:val="left"/>
      <w:pPr>
        <w:tabs>
          <w:tab w:val="num" w:pos="5760"/>
        </w:tabs>
        <w:ind w:left="5760" w:hanging="360"/>
      </w:pPr>
      <w:rPr>
        <w:rFonts w:ascii="Arial" w:hAnsi="Arial" w:hint="default"/>
      </w:rPr>
    </w:lvl>
    <w:lvl w:ilvl="8" w:tplc="B68EEF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9761EE"/>
    <w:multiLevelType w:val="hybridMultilevel"/>
    <w:tmpl w:val="78EA49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0775763">
    <w:abstractNumId w:val="24"/>
  </w:num>
  <w:num w:numId="2" w16cid:durableId="478154215">
    <w:abstractNumId w:val="1"/>
  </w:num>
  <w:num w:numId="3" w16cid:durableId="1893468119">
    <w:abstractNumId w:val="22"/>
  </w:num>
  <w:num w:numId="4" w16cid:durableId="1825581933">
    <w:abstractNumId w:val="13"/>
  </w:num>
  <w:num w:numId="5" w16cid:durableId="1631401472">
    <w:abstractNumId w:val="21"/>
  </w:num>
  <w:num w:numId="6" w16cid:durableId="1775663566">
    <w:abstractNumId w:val="11"/>
  </w:num>
  <w:num w:numId="7" w16cid:durableId="287863315">
    <w:abstractNumId w:val="15"/>
  </w:num>
  <w:num w:numId="8" w16cid:durableId="405226412">
    <w:abstractNumId w:val="5"/>
  </w:num>
  <w:num w:numId="9" w16cid:durableId="840120601">
    <w:abstractNumId w:val="17"/>
  </w:num>
  <w:num w:numId="10" w16cid:durableId="656416459">
    <w:abstractNumId w:val="23"/>
  </w:num>
  <w:num w:numId="11" w16cid:durableId="567037893">
    <w:abstractNumId w:val="7"/>
  </w:num>
  <w:num w:numId="12" w16cid:durableId="1900631240">
    <w:abstractNumId w:val="6"/>
  </w:num>
  <w:num w:numId="13" w16cid:durableId="1179975775">
    <w:abstractNumId w:val="4"/>
  </w:num>
  <w:num w:numId="14" w16cid:durableId="447361724">
    <w:abstractNumId w:val="14"/>
  </w:num>
  <w:num w:numId="15" w16cid:durableId="779422527">
    <w:abstractNumId w:val="20"/>
  </w:num>
  <w:num w:numId="16" w16cid:durableId="285893275">
    <w:abstractNumId w:val="9"/>
  </w:num>
  <w:num w:numId="17" w16cid:durableId="1101334444">
    <w:abstractNumId w:val="19"/>
  </w:num>
  <w:num w:numId="18" w16cid:durableId="289556501">
    <w:abstractNumId w:val="10"/>
  </w:num>
  <w:num w:numId="19" w16cid:durableId="1547180076">
    <w:abstractNumId w:val="18"/>
  </w:num>
  <w:num w:numId="20" w16cid:durableId="1114442537">
    <w:abstractNumId w:val="0"/>
  </w:num>
  <w:num w:numId="21" w16cid:durableId="1311248377">
    <w:abstractNumId w:val="8"/>
  </w:num>
  <w:num w:numId="22" w16cid:durableId="1990790547">
    <w:abstractNumId w:val="12"/>
  </w:num>
  <w:num w:numId="23" w16cid:durableId="73359049">
    <w:abstractNumId w:val="2"/>
  </w:num>
  <w:num w:numId="24" w16cid:durableId="1987515733">
    <w:abstractNumId w:val="3"/>
  </w:num>
  <w:num w:numId="25" w16cid:durableId="3548873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CD"/>
    <w:rsid w:val="00056CAB"/>
    <w:rsid w:val="000D24E5"/>
    <w:rsid w:val="000E4828"/>
    <w:rsid w:val="001812D9"/>
    <w:rsid w:val="001D166D"/>
    <w:rsid w:val="00236669"/>
    <w:rsid w:val="0028581C"/>
    <w:rsid w:val="0031540F"/>
    <w:rsid w:val="00480BE8"/>
    <w:rsid w:val="005553CD"/>
    <w:rsid w:val="006C3C70"/>
    <w:rsid w:val="006E1B5C"/>
    <w:rsid w:val="008D3658"/>
    <w:rsid w:val="008F7CF0"/>
    <w:rsid w:val="009A2739"/>
    <w:rsid w:val="00A17A6C"/>
    <w:rsid w:val="00AE73E2"/>
    <w:rsid w:val="00B21CB5"/>
    <w:rsid w:val="00BF3F88"/>
    <w:rsid w:val="00CB6683"/>
    <w:rsid w:val="00D444F6"/>
    <w:rsid w:val="00DB6CA9"/>
    <w:rsid w:val="00E04057"/>
    <w:rsid w:val="00E64863"/>
    <w:rsid w:val="00E757E2"/>
    <w:rsid w:val="00EC7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729A"/>
  <w15:chartTrackingRefBased/>
  <w15:docId w15:val="{41236AFD-3831-4885-9F56-B77A690E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E8"/>
  </w:style>
  <w:style w:type="paragraph" w:styleId="Titre1">
    <w:name w:val="heading 1"/>
    <w:basedOn w:val="Normal"/>
    <w:next w:val="Normal"/>
    <w:link w:val="Titre1Car"/>
    <w:uiPriority w:val="9"/>
    <w:qFormat/>
    <w:rsid w:val="00E04057"/>
    <w:pPr>
      <w:keepNext/>
      <w:keepLines/>
      <w:spacing w:before="240" w:after="0"/>
      <w:outlineLvl w:val="0"/>
    </w:pPr>
    <w:rPr>
      <w:rFonts w:eastAsiaTheme="majorEastAsia" w:cstheme="majorBidi"/>
      <w:sz w:val="32"/>
      <w:szCs w:val="32"/>
    </w:rPr>
  </w:style>
  <w:style w:type="paragraph" w:styleId="Titre2">
    <w:name w:val="heading 2"/>
    <w:basedOn w:val="Normal"/>
    <w:next w:val="Normal"/>
    <w:link w:val="Titre2Car"/>
    <w:uiPriority w:val="9"/>
    <w:unhideWhenUsed/>
    <w:qFormat/>
    <w:rsid w:val="00E04057"/>
    <w:pPr>
      <w:keepNext/>
      <w:keepLines/>
      <w:spacing w:before="40" w:after="0"/>
      <w:outlineLvl w:val="1"/>
    </w:pPr>
    <w:rPr>
      <w:rFonts w:eastAsiaTheme="majorEastAsia" w:cstheme="majorBidi"/>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4057"/>
    <w:rPr>
      <w:rFonts w:eastAsiaTheme="majorEastAsia" w:cstheme="majorBidi"/>
      <w:sz w:val="32"/>
      <w:szCs w:val="32"/>
    </w:rPr>
  </w:style>
  <w:style w:type="character" w:customStyle="1" w:styleId="Titre2Car">
    <w:name w:val="Titre 2 Car"/>
    <w:basedOn w:val="Policepardfaut"/>
    <w:link w:val="Titre2"/>
    <w:uiPriority w:val="9"/>
    <w:rsid w:val="00E04057"/>
    <w:rPr>
      <w:rFonts w:eastAsiaTheme="majorEastAsia" w:cstheme="majorBidi"/>
      <w:sz w:val="26"/>
      <w:szCs w:val="26"/>
    </w:rPr>
  </w:style>
  <w:style w:type="character" w:styleId="Lienhypertexte">
    <w:name w:val="Hyperlink"/>
    <w:basedOn w:val="Policepardfaut"/>
    <w:uiPriority w:val="99"/>
    <w:unhideWhenUsed/>
    <w:rsid w:val="00056CAB"/>
    <w:rPr>
      <w:color w:val="0563C1" w:themeColor="hyperlink"/>
      <w:u w:val="single"/>
    </w:rPr>
  </w:style>
  <w:style w:type="character" w:styleId="Mentionnonrsolue">
    <w:name w:val="Unresolved Mention"/>
    <w:basedOn w:val="Policepardfaut"/>
    <w:uiPriority w:val="99"/>
    <w:semiHidden/>
    <w:unhideWhenUsed/>
    <w:rsid w:val="00056CAB"/>
    <w:rPr>
      <w:color w:val="605E5C"/>
      <w:shd w:val="clear" w:color="auto" w:fill="E1DFDD"/>
    </w:rPr>
  </w:style>
  <w:style w:type="paragraph" w:styleId="En-ttedetabledesmatires">
    <w:name w:val="TOC Heading"/>
    <w:basedOn w:val="Titre1"/>
    <w:next w:val="Normal"/>
    <w:uiPriority w:val="39"/>
    <w:unhideWhenUsed/>
    <w:qFormat/>
    <w:rsid w:val="00DB6CA9"/>
    <w:pPr>
      <w:outlineLvl w:val="9"/>
    </w:pPr>
    <w:rPr>
      <w:rFonts w:asciiTheme="majorHAnsi" w:hAnsiTheme="majorHAnsi"/>
      <w:color w:val="2F5496" w:themeColor="accent1" w:themeShade="BF"/>
      <w:lang w:eastAsia="fr-FR"/>
    </w:rPr>
  </w:style>
  <w:style w:type="paragraph" w:styleId="TM1">
    <w:name w:val="toc 1"/>
    <w:basedOn w:val="Normal"/>
    <w:next w:val="Normal"/>
    <w:autoRedefine/>
    <w:uiPriority w:val="39"/>
    <w:unhideWhenUsed/>
    <w:rsid w:val="00DB6CA9"/>
    <w:pPr>
      <w:spacing w:after="100"/>
    </w:pPr>
  </w:style>
  <w:style w:type="paragraph" w:styleId="TM2">
    <w:name w:val="toc 2"/>
    <w:basedOn w:val="Normal"/>
    <w:next w:val="Normal"/>
    <w:autoRedefine/>
    <w:uiPriority w:val="39"/>
    <w:unhideWhenUsed/>
    <w:rsid w:val="00DB6CA9"/>
    <w:pPr>
      <w:spacing w:after="100"/>
      <w:ind w:left="220"/>
    </w:pPr>
  </w:style>
  <w:style w:type="paragraph" w:styleId="Paragraphedeliste">
    <w:name w:val="List Paragraph"/>
    <w:basedOn w:val="Normal"/>
    <w:uiPriority w:val="34"/>
    <w:qFormat/>
    <w:rsid w:val="00DB6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6994">
      <w:bodyDiv w:val="1"/>
      <w:marLeft w:val="0"/>
      <w:marRight w:val="0"/>
      <w:marTop w:val="0"/>
      <w:marBottom w:val="0"/>
      <w:divBdr>
        <w:top w:val="none" w:sz="0" w:space="0" w:color="auto"/>
        <w:left w:val="none" w:sz="0" w:space="0" w:color="auto"/>
        <w:bottom w:val="none" w:sz="0" w:space="0" w:color="auto"/>
        <w:right w:val="none" w:sz="0" w:space="0" w:color="auto"/>
      </w:divBdr>
      <w:divsChild>
        <w:div w:id="753938077">
          <w:marLeft w:val="720"/>
          <w:marRight w:val="0"/>
          <w:marTop w:val="0"/>
          <w:marBottom w:val="0"/>
          <w:divBdr>
            <w:top w:val="none" w:sz="0" w:space="0" w:color="auto"/>
            <w:left w:val="none" w:sz="0" w:space="0" w:color="auto"/>
            <w:bottom w:val="none" w:sz="0" w:space="0" w:color="auto"/>
            <w:right w:val="none" w:sz="0" w:space="0" w:color="auto"/>
          </w:divBdr>
        </w:div>
        <w:div w:id="212084897">
          <w:marLeft w:val="720"/>
          <w:marRight w:val="0"/>
          <w:marTop w:val="0"/>
          <w:marBottom w:val="0"/>
          <w:divBdr>
            <w:top w:val="none" w:sz="0" w:space="0" w:color="auto"/>
            <w:left w:val="none" w:sz="0" w:space="0" w:color="auto"/>
            <w:bottom w:val="none" w:sz="0" w:space="0" w:color="auto"/>
            <w:right w:val="none" w:sz="0" w:space="0" w:color="auto"/>
          </w:divBdr>
        </w:div>
        <w:div w:id="236210990">
          <w:marLeft w:val="720"/>
          <w:marRight w:val="0"/>
          <w:marTop w:val="0"/>
          <w:marBottom w:val="0"/>
          <w:divBdr>
            <w:top w:val="none" w:sz="0" w:space="0" w:color="auto"/>
            <w:left w:val="none" w:sz="0" w:space="0" w:color="auto"/>
            <w:bottom w:val="none" w:sz="0" w:space="0" w:color="auto"/>
            <w:right w:val="none" w:sz="0" w:space="0" w:color="auto"/>
          </w:divBdr>
        </w:div>
        <w:div w:id="2031905533">
          <w:marLeft w:val="720"/>
          <w:marRight w:val="0"/>
          <w:marTop w:val="0"/>
          <w:marBottom w:val="0"/>
          <w:divBdr>
            <w:top w:val="none" w:sz="0" w:space="0" w:color="auto"/>
            <w:left w:val="none" w:sz="0" w:space="0" w:color="auto"/>
            <w:bottom w:val="none" w:sz="0" w:space="0" w:color="auto"/>
            <w:right w:val="none" w:sz="0" w:space="0" w:color="auto"/>
          </w:divBdr>
        </w:div>
      </w:divsChild>
    </w:div>
    <w:div w:id="482234286">
      <w:bodyDiv w:val="1"/>
      <w:marLeft w:val="0"/>
      <w:marRight w:val="0"/>
      <w:marTop w:val="0"/>
      <w:marBottom w:val="0"/>
      <w:divBdr>
        <w:top w:val="none" w:sz="0" w:space="0" w:color="auto"/>
        <w:left w:val="none" w:sz="0" w:space="0" w:color="auto"/>
        <w:bottom w:val="none" w:sz="0" w:space="0" w:color="auto"/>
        <w:right w:val="none" w:sz="0" w:space="0" w:color="auto"/>
      </w:divBdr>
      <w:divsChild>
        <w:div w:id="328414411">
          <w:marLeft w:val="691"/>
          <w:marRight w:val="0"/>
          <w:marTop w:val="0"/>
          <w:marBottom w:val="0"/>
          <w:divBdr>
            <w:top w:val="none" w:sz="0" w:space="0" w:color="auto"/>
            <w:left w:val="none" w:sz="0" w:space="0" w:color="auto"/>
            <w:bottom w:val="none" w:sz="0" w:space="0" w:color="auto"/>
            <w:right w:val="none" w:sz="0" w:space="0" w:color="auto"/>
          </w:divBdr>
        </w:div>
        <w:div w:id="474374835">
          <w:marLeft w:val="691"/>
          <w:marRight w:val="0"/>
          <w:marTop w:val="0"/>
          <w:marBottom w:val="0"/>
          <w:divBdr>
            <w:top w:val="none" w:sz="0" w:space="0" w:color="auto"/>
            <w:left w:val="none" w:sz="0" w:space="0" w:color="auto"/>
            <w:bottom w:val="none" w:sz="0" w:space="0" w:color="auto"/>
            <w:right w:val="none" w:sz="0" w:space="0" w:color="auto"/>
          </w:divBdr>
        </w:div>
        <w:div w:id="1840265273">
          <w:marLeft w:val="691"/>
          <w:marRight w:val="0"/>
          <w:marTop w:val="0"/>
          <w:marBottom w:val="0"/>
          <w:divBdr>
            <w:top w:val="none" w:sz="0" w:space="0" w:color="auto"/>
            <w:left w:val="none" w:sz="0" w:space="0" w:color="auto"/>
            <w:bottom w:val="none" w:sz="0" w:space="0" w:color="auto"/>
            <w:right w:val="none" w:sz="0" w:space="0" w:color="auto"/>
          </w:divBdr>
        </w:div>
        <w:div w:id="2111926112">
          <w:marLeft w:val="691"/>
          <w:marRight w:val="0"/>
          <w:marTop w:val="0"/>
          <w:marBottom w:val="0"/>
          <w:divBdr>
            <w:top w:val="none" w:sz="0" w:space="0" w:color="auto"/>
            <w:left w:val="none" w:sz="0" w:space="0" w:color="auto"/>
            <w:bottom w:val="none" w:sz="0" w:space="0" w:color="auto"/>
            <w:right w:val="none" w:sz="0" w:space="0" w:color="auto"/>
          </w:divBdr>
        </w:div>
        <w:div w:id="1077554502">
          <w:marLeft w:val="720"/>
          <w:marRight w:val="0"/>
          <w:marTop w:val="0"/>
          <w:marBottom w:val="0"/>
          <w:divBdr>
            <w:top w:val="none" w:sz="0" w:space="0" w:color="auto"/>
            <w:left w:val="none" w:sz="0" w:space="0" w:color="auto"/>
            <w:bottom w:val="none" w:sz="0" w:space="0" w:color="auto"/>
            <w:right w:val="none" w:sz="0" w:space="0" w:color="auto"/>
          </w:divBdr>
        </w:div>
        <w:div w:id="1115254385">
          <w:marLeft w:val="720"/>
          <w:marRight w:val="0"/>
          <w:marTop w:val="0"/>
          <w:marBottom w:val="0"/>
          <w:divBdr>
            <w:top w:val="none" w:sz="0" w:space="0" w:color="auto"/>
            <w:left w:val="none" w:sz="0" w:space="0" w:color="auto"/>
            <w:bottom w:val="none" w:sz="0" w:space="0" w:color="auto"/>
            <w:right w:val="none" w:sz="0" w:space="0" w:color="auto"/>
          </w:divBdr>
        </w:div>
        <w:div w:id="1502282757">
          <w:marLeft w:val="691"/>
          <w:marRight w:val="0"/>
          <w:marTop w:val="0"/>
          <w:marBottom w:val="0"/>
          <w:divBdr>
            <w:top w:val="none" w:sz="0" w:space="0" w:color="auto"/>
            <w:left w:val="none" w:sz="0" w:space="0" w:color="auto"/>
            <w:bottom w:val="none" w:sz="0" w:space="0" w:color="auto"/>
            <w:right w:val="none" w:sz="0" w:space="0" w:color="auto"/>
          </w:divBdr>
        </w:div>
        <w:div w:id="1895388817">
          <w:marLeft w:val="691"/>
          <w:marRight w:val="0"/>
          <w:marTop w:val="0"/>
          <w:marBottom w:val="0"/>
          <w:divBdr>
            <w:top w:val="none" w:sz="0" w:space="0" w:color="auto"/>
            <w:left w:val="none" w:sz="0" w:space="0" w:color="auto"/>
            <w:bottom w:val="none" w:sz="0" w:space="0" w:color="auto"/>
            <w:right w:val="none" w:sz="0" w:space="0" w:color="auto"/>
          </w:divBdr>
        </w:div>
        <w:div w:id="269554394">
          <w:marLeft w:val="691"/>
          <w:marRight w:val="0"/>
          <w:marTop w:val="0"/>
          <w:marBottom w:val="0"/>
          <w:divBdr>
            <w:top w:val="none" w:sz="0" w:space="0" w:color="auto"/>
            <w:left w:val="none" w:sz="0" w:space="0" w:color="auto"/>
            <w:bottom w:val="none" w:sz="0" w:space="0" w:color="auto"/>
            <w:right w:val="none" w:sz="0" w:space="0" w:color="auto"/>
          </w:divBdr>
        </w:div>
        <w:div w:id="658577899">
          <w:marLeft w:val="691"/>
          <w:marRight w:val="0"/>
          <w:marTop w:val="0"/>
          <w:marBottom w:val="0"/>
          <w:divBdr>
            <w:top w:val="none" w:sz="0" w:space="0" w:color="auto"/>
            <w:left w:val="none" w:sz="0" w:space="0" w:color="auto"/>
            <w:bottom w:val="none" w:sz="0" w:space="0" w:color="auto"/>
            <w:right w:val="none" w:sz="0" w:space="0" w:color="auto"/>
          </w:divBdr>
        </w:div>
        <w:div w:id="1335573272">
          <w:marLeft w:val="691"/>
          <w:marRight w:val="0"/>
          <w:marTop w:val="0"/>
          <w:marBottom w:val="0"/>
          <w:divBdr>
            <w:top w:val="none" w:sz="0" w:space="0" w:color="auto"/>
            <w:left w:val="none" w:sz="0" w:space="0" w:color="auto"/>
            <w:bottom w:val="none" w:sz="0" w:space="0" w:color="auto"/>
            <w:right w:val="none" w:sz="0" w:space="0" w:color="auto"/>
          </w:divBdr>
        </w:div>
      </w:divsChild>
    </w:div>
    <w:div w:id="530074794">
      <w:bodyDiv w:val="1"/>
      <w:marLeft w:val="0"/>
      <w:marRight w:val="0"/>
      <w:marTop w:val="0"/>
      <w:marBottom w:val="0"/>
      <w:divBdr>
        <w:top w:val="none" w:sz="0" w:space="0" w:color="auto"/>
        <w:left w:val="none" w:sz="0" w:space="0" w:color="auto"/>
        <w:bottom w:val="none" w:sz="0" w:space="0" w:color="auto"/>
        <w:right w:val="none" w:sz="0" w:space="0" w:color="auto"/>
      </w:divBdr>
      <w:divsChild>
        <w:div w:id="935140455">
          <w:marLeft w:val="691"/>
          <w:marRight w:val="0"/>
          <w:marTop w:val="0"/>
          <w:marBottom w:val="0"/>
          <w:divBdr>
            <w:top w:val="none" w:sz="0" w:space="0" w:color="auto"/>
            <w:left w:val="none" w:sz="0" w:space="0" w:color="auto"/>
            <w:bottom w:val="none" w:sz="0" w:space="0" w:color="auto"/>
            <w:right w:val="none" w:sz="0" w:space="0" w:color="auto"/>
          </w:divBdr>
        </w:div>
        <w:div w:id="1906061417">
          <w:marLeft w:val="691"/>
          <w:marRight w:val="0"/>
          <w:marTop w:val="0"/>
          <w:marBottom w:val="0"/>
          <w:divBdr>
            <w:top w:val="none" w:sz="0" w:space="0" w:color="auto"/>
            <w:left w:val="none" w:sz="0" w:space="0" w:color="auto"/>
            <w:bottom w:val="none" w:sz="0" w:space="0" w:color="auto"/>
            <w:right w:val="none" w:sz="0" w:space="0" w:color="auto"/>
          </w:divBdr>
        </w:div>
        <w:div w:id="442118395">
          <w:marLeft w:val="691"/>
          <w:marRight w:val="0"/>
          <w:marTop w:val="0"/>
          <w:marBottom w:val="0"/>
          <w:divBdr>
            <w:top w:val="none" w:sz="0" w:space="0" w:color="auto"/>
            <w:left w:val="none" w:sz="0" w:space="0" w:color="auto"/>
            <w:bottom w:val="none" w:sz="0" w:space="0" w:color="auto"/>
            <w:right w:val="none" w:sz="0" w:space="0" w:color="auto"/>
          </w:divBdr>
        </w:div>
        <w:div w:id="4865007">
          <w:marLeft w:val="691"/>
          <w:marRight w:val="0"/>
          <w:marTop w:val="0"/>
          <w:marBottom w:val="0"/>
          <w:divBdr>
            <w:top w:val="none" w:sz="0" w:space="0" w:color="auto"/>
            <w:left w:val="none" w:sz="0" w:space="0" w:color="auto"/>
            <w:bottom w:val="none" w:sz="0" w:space="0" w:color="auto"/>
            <w:right w:val="none" w:sz="0" w:space="0" w:color="auto"/>
          </w:divBdr>
        </w:div>
        <w:div w:id="481043786">
          <w:marLeft w:val="691"/>
          <w:marRight w:val="0"/>
          <w:marTop w:val="0"/>
          <w:marBottom w:val="0"/>
          <w:divBdr>
            <w:top w:val="none" w:sz="0" w:space="0" w:color="auto"/>
            <w:left w:val="none" w:sz="0" w:space="0" w:color="auto"/>
            <w:bottom w:val="none" w:sz="0" w:space="0" w:color="auto"/>
            <w:right w:val="none" w:sz="0" w:space="0" w:color="auto"/>
          </w:divBdr>
        </w:div>
        <w:div w:id="1358847773">
          <w:marLeft w:val="691"/>
          <w:marRight w:val="0"/>
          <w:marTop w:val="0"/>
          <w:marBottom w:val="0"/>
          <w:divBdr>
            <w:top w:val="none" w:sz="0" w:space="0" w:color="auto"/>
            <w:left w:val="none" w:sz="0" w:space="0" w:color="auto"/>
            <w:bottom w:val="none" w:sz="0" w:space="0" w:color="auto"/>
            <w:right w:val="none" w:sz="0" w:space="0" w:color="auto"/>
          </w:divBdr>
        </w:div>
        <w:div w:id="482090228">
          <w:marLeft w:val="691"/>
          <w:marRight w:val="0"/>
          <w:marTop w:val="0"/>
          <w:marBottom w:val="0"/>
          <w:divBdr>
            <w:top w:val="none" w:sz="0" w:space="0" w:color="auto"/>
            <w:left w:val="none" w:sz="0" w:space="0" w:color="auto"/>
            <w:bottom w:val="none" w:sz="0" w:space="0" w:color="auto"/>
            <w:right w:val="none" w:sz="0" w:space="0" w:color="auto"/>
          </w:divBdr>
        </w:div>
        <w:div w:id="884756468">
          <w:marLeft w:val="691"/>
          <w:marRight w:val="0"/>
          <w:marTop w:val="0"/>
          <w:marBottom w:val="0"/>
          <w:divBdr>
            <w:top w:val="none" w:sz="0" w:space="0" w:color="auto"/>
            <w:left w:val="none" w:sz="0" w:space="0" w:color="auto"/>
            <w:bottom w:val="none" w:sz="0" w:space="0" w:color="auto"/>
            <w:right w:val="none" w:sz="0" w:space="0" w:color="auto"/>
          </w:divBdr>
        </w:div>
        <w:div w:id="1300064293">
          <w:marLeft w:val="691"/>
          <w:marRight w:val="0"/>
          <w:marTop w:val="0"/>
          <w:marBottom w:val="0"/>
          <w:divBdr>
            <w:top w:val="none" w:sz="0" w:space="0" w:color="auto"/>
            <w:left w:val="none" w:sz="0" w:space="0" w:color="auto"/>
            <w:bottom w:val="none" w:sz="0" w:space="0" w:color="auto"/>
            <w:right w:val="none" w:sz="0" w:space="0" w:color="auto"/>
          </w:divBdr>
        </w:div>
        <w:div w:id="872809256">
          <w:marLeft w:val="691"/>
          <w:marRight w:val="0"/>
          <w:marTop w:val="0"/>
          <w:marBottom w:val="0"/>
          <w:divBdr>
            <w:top w:val="none" w:sz="0" w:space="0" w:color="auto"/>
            <w:left w:val="none" w:sz="0" w:space="0" w:color="auto"/>
            <w:bottom w:val="none" w:sz="0" w:space="0" w:color="auto"/>
            <w:right w:val="none" w:sz="0" w:space="0" w:color="auto"/>
          </w:divBdr>
        </w:div>
      </w:divsChild>
    </w:div>
    <w:div w:id="6353359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6">
          <w:marLeft w:val="720"/>
          <w:marRight w:val="0"/>
          <w:marTop w:val="0"/>
          <w:marBottom w:val="0"/>
          <w:divBdr>
            <w:top w:val="none" w:sz="0" w:space="0" w:color="auto"/>
            <w:left w:val="none" w:sz="0" w:space="0" w:color="auto"/>
            <w:bottom w:val="none" w:sz="0" w:space="0" w:color="auto"/>
            <w:right w:val="none" w:sz="0" w:space="0" w:color="auto"/>
          </w:divBdr>
        </w:div>
        <w:div w:id="347215853">
          <w:marLeft w:val="720"/>
          <w:marRight w:val="0"/>
          <w:marTop w:val="0"/>
          <w:marBottom w:val="0"/>
          <w:divBdr>
            <w:top w:val="none" w:sz="0" w:space="0" w:color="auto"/>
            <w:left w:val="none" w:sz="0" w:space="0" w:color="auto"/>
            <w:bottom w:val="none" w:sz="0" w:space="0" w:color="auto"/>
            <w:right w:val="none" w:sz="0" w:space="0" w:color="auto"/>
          </w:divBdr>
        </w:div>
        <w:div w:id="1592004361">
          <w:marLeft w:val="720"/>
          <w:marRight w:val="0"/>
          <w:marTop w:val="0"/>
          <w:marBottom w:val="0"/>
          <w:divBdr>
            <w:top w:val="none" w:sz="0" w:space="0" w:color="auto"/>
            <w:left w:val="none" w:sz="0" w:space="0" w:color="auto"/>
            <w:bottom w:val="none" w:sz="0" w:space="0" w:color="auto"/>
            <w:right w:val="none" w:sz="0" w:space="0" w:color="auto"/>
          </w:divBdr>
        </w:div>
        <w:div w:id="215286627">
          <w:marLeft w:val="720"/>
          <w:marRight w:val="0"/>
          <w:marTop w:val="0"/>
          <w:marBottom w:val="0"/>
          <w:divBdr>
            <w:top w:val="none" w:sz="0" w:space="0" w:color="auto"/>
            <w:left w:val="none" w:sz="0" w:space="0" w:color="auto"/>
            <w:bottom w:val="none" w:sz="0" w:space="0" w:color="auto"/>
            <w:right w:val="none" w:sz="0" w:space="0" w:color="auto"/>
          </w:divBdr>
        </w:div>
        <w:div w:id="1621836742">
          <w:marLeft w:val="720"/>
          <w:marRight w:val="0"/>
          <w:marTop w:val="0"/>
          <w:marBottom w:val="0"/>
          <w:divBdr>
            <w:top w:val="none" w:sz="0" w:space="0" w:color="auto"/>
            <w:left w:val="none" w:sz="0" w:space="0" w:color="auto"/>
            <w:bottom w:val="none" w:sz="0" w:space="0" w:color="auto"/>
            <w:right w:val="none" w:sz="0" w:space="0" w:color="auto"/>
          </w:divBdr>
        </w:div>
        <w:div w:id="1985886826">
          <w:marLeft w:val="720"/>
          <w:marRight w:val="0"/>
          <w:marTop w:val="0"/>
          <w:marBottom w:val="0"/>
          <w:divBdr>
            <w:top w:val="none" w:sz="0" w:space="0" w:color="auto"/>
            <w:left w:val="none" w:sz="0" w:space="0" w:color="auto"/>
            <w:bottom w:val="none" w:sz="0" w:space="0" w:color="auto"/>
            <w:right w:val="none" w:sz="0" w:space="0" w:color="auto"/>
          </w:divBdr>
        </w:div>
        <w:div w:id="1498687201">
          <w:marLeft w:val="720"/>
          <w:marRight w:val="0"/>
          <w:marTop w:val="0"/>
          <w:marBottom w:val="0"/>
          <w:divBdr>
            <w:top w:val="none" w:sz="0" w:space="0" w:color="auto"/>
            <w:left w:val="none" w:sz="0" w:space="0" w:color="auto"/>
            <w:bottom w:val="none" w:sz="0" w:space="0" w:color="auto"/>
            <w:right w:val="none" w:sz="0" w:space="0" w:color="auto"/>
          </w:divBdr>
        </w:div>
      </w:divsChild>
    </w:div>
    <w:div w:id="763185224">
      <w:bodyDiv w:val="1"/>
      <w:marLeft w:val="0"/>
      <w:marRight w:val="0"/>
      <w:marTop w:val="0"/>
      <w:marBottom w:val="0"/>
      <w:divBdr>
        <w:top w:val="none" w:sz="0" w:space="0" w:color="auto"/>
        <w:left w:val="none" w:sz="0" w:space="0" w:color="auto"/>
        <w:bottom w:val="none" w:sz="0" w:space="0" w:color="auto"/>
        <w:right w:val="none" w:sz="0" w:space="0" w:color="auto"/>
      </w:divBdr>
    </w:div>
    <w:div w:id="848907963">
      <w:bodyDiv w:val="1"/>
      <w:marLeft w:val="0"/>
      <w:marRight w:val="0"/>
      <w:marTop w:val="0"/>
      <w:marBottom w:val="0"/>
      <w:divBdr>
        <w:top w:val="none" w:sz="0" w:space="0" w:color="auto"/>
        <w:left w:val="none" w:sz="0" w:space="0" w:color="auto"/>
        <w:bottom w:val="none" w:sz="0" w:space="0" w:color="auto"/>
        <w:right w:val="none" w:sz="0" w:space="0" w:color="auto"/>
      </w:divBdr>
    </w:div>
    <w:div w:id="956640145">
      <w:bodyDiv w:val="1"/>
      <w:marLeft w:val="0"/>
      <w:marRight w:val="0"/>
      <w:marTop w:val="0"/>
      <w:marBottom w:val="0"/>
      <w:divBdr>
        <w:top w:val="none" w:sz="0" w:space="0" w:color="auto"/>
        <w:left w:val="none" w:sz="0" w:space="0" w:color="auto"/>
        <w:bottom w:val="none" w:sz="0" w:space="0" w:color="auto"/>
        <w:right w:val="none" w:sz="0" w:space="0" w:color="auto"/>
      </w:divBdr>
      <w:divsChild>
        <w:div w:id="1086997336">
          <w:marLeft w:val="720"/>
          <w:marRight w:val="0"/>
          <w:marTop w:val="0"/>
          <w:marBottom w:val="0"/>
          <w:divBdr>
            <w:top w:val="none" w:sz="0" w:space="0" w:color="auto"/>
            <w:left w:val="none" w:sz="0" w:space="0" w:color="auto"/>
            <w:bottom w:val="none" w:sz="0" w:space="0" w:color="auto"/>
            <w:right w:val="none" w:sz="0" w:space="0" w:color="auto"/>
          </w:divBdr>
        </w:div>
        <w:div w:id="1929727350">
          <w:marLeft w:val="720"/>
          <w:marRight w:val="0"/>
          <w:marTop w:val="0"/>
          <w:marBottom w:val="0"/>
          <w:divBdr>
            <w:top w:val="none" w:sz="0" w:space="0" w:color="auto"/>
            <w:left w:val="none" w:sz="0" w:space="0" w:color="auto"/>
            <w:bottom w:val="none" w:sz="0" w:space="0" w:color="auto"/>
            <w:right w:val="none" w:sz="0" w:space="0" w:color="auto"/>
          </w:divBdr>
        </w:div>
        <w:div w:id="984285806">
          <w:marLeft w:val="720"/>
          <w:marRight w:val="0"/>
          <w:marTop w:val="0"/>
          <w:marBottom w:val="0"/>
          <w:divBdr>
            <w:top w:val="none" w:sz="0" w:space="0" w:color="auto"/>
            <w:left w:val="none" w:sz="0" w:space="0" w:color="auto"/>
            <w:bottom w:val="none" w:sz="0" w:space="0" w:color="auto"/>
            <w:right w:val="none" w:sz="0" w:space="0" w:color="auto"/>
          </w:divBdr>
        </w:div>
      </w:divsChild>
    </w:div>
    <w:div w:id="966081572">
      <w:bodyDiv w:val="1"/>
      <w:marLeft w:val="0"/>
      <w:marRight w:val="0"/>
      <w:marTop w:val="0"/>
      <w:marBottom w:val="0"/>
      <w:divBdr>
        <w:top w:val="none" w:sz="0" w:space="0" w:color="auto"/>
        <w:left w:val="none" w:sz="0" w:space="0" w:color="auto"/>
        <w:bottom w:val="none" w:sz="0" w:space="0" w:color="auto"/>
        <w:right w:val="none" w:sz="0" w:space="0" w:color="auto"/>
      </w:divBdr>
    </w:div>
    <w:div w:id="1085692373">
      <w:bodyDiv w:val="1"/>
      <w:marLeft w:val="0"/>
      <w:marRight w:val="0"/>
      <w:marTop w:val="0"/>
      <w:marBottom w:val="0"/>
      <w:divBdr>
        <w:top w:val="none" w:sz="0" w:space="0" w:color="auto"/>
        <w:left w:val="none" w:sz="0" w:space="0" w:color="auto"/>
        <w:bottom w:val="none" w:sz="0" w:space="0" w:color="auto"/>
        <w:right w:val="none" w:sz="0" w:space="0" w:color="auto"/>
      </w:divBdr>
      <w:divsChild>
        <w:div w:id="2022200706">
          <w:marLeft w:val="691"/>
          <w:marRight w:val="0"/>
          <w:marTop w:val="240"/>
          <w:marBottom w:val="0"/>
          <w:divBdr>
            <w:top w:val="none" w:sz="0" w:space="0" w:color="auto"/>
            <w:left w:val="none" w:sz="0" w:space="0" w:color="auto"/>
            <w:bottom w:val="none" w:sz="0" w:space="0" w:color="auto"/>
            <w:right w:val="none" w:sz="0" w:space="0" w:color="auto"/>
          </w:divBdr>
        </w:div>
        <w:div w:id="1055814432">
          <w:marLeft w:val="691"/>
          <w:marRight w:val="0"/>
          <w:marTop w:val="240"/>
          <w:marBottom w:val="0"/>
          <w:divBdr>
            <w:top w:val="none" w:sz="0" w:space="0" w:color="auto"/>
            <w:left w:val="none" w:sz="0" w:space="0" w:color="auto"/>
            <w:bottom w:val="none" w:sz="0" w:space="0" w:color="auto"/>
            <w:right w:val="none" w:sz="0" w:space="0" w:color="auto"/>
          </w:divBdr>
        </w:div>
        <w:div w:id="112672693">
          <w:marLeft w:val="691"/>
          <w:marRight w:val="0"/>
          <w:marTop w:val="240"/>
          <w:marBottom w:val="0"/>
          <w:divBdr>
            <w:top w:val="none" w:sz="0" w:space="0" w:color="auto"/>
            <w:left w:val="none" w:sz="0" w:space="0" w:color="auto"/>
            <w:bottom w:val="none" w:sz="0" w:space="0" w:color="auto"/>
            <w:right w:val="none" w:sz="0" w:space="0" w:color="auto"/>
          </w:divBdr>
        </w:div>
        <w:div w:id="2132358145">
          <w:marLeft w:val="691"/>
          <w:marRight w:val="0"/>
          <w:marTop w:val="240"/>
          <w:marBottom w:val="0"/>
          <w:divBdr>
            <w:top w:val="none" w:sz="0" w:space="0" w:color="auto"/>
            <w:left w:val="none" w:sz="0" w:space="0" w:color="auto"/>
            <w:bottom w:val="none" w:sz="0" w:space="0" w:color="auto"/>
            <w:right w:val="none" w:sz="0" w:space="0" w:color="auto"/>
          </w:divBdr>
        </w:div>
        <w:div w:id="1155532168">
          <w:marLeft w:val="691"/>
          <w:marRight w:val="0"/>
          <w:marTop w:val="240"/>
          <w:marBottom w:val="0"/>
          <w:divBdr>
            <w:top w:val="none" w:sz="0" w:space="0" w:color="auto"/>
            <w:left w:val="none" w:sz="0" w:space="0" w:color="auto"/>
            <w:bottom w:val="none" w:sz="0" w:space="0" w:color="auto"/>
            <w:right w:val="none" w:sz="0" w:space="0" w:color="auto"/>
          </w:divBdr>
        </w:div>
        <w:div w:id="1878620953">
          <w:marLeft w:val="691"/>
          <w:marRight w:val="0"/>
          <w:marTop w:val="240"/>
          <w:marBottom w:val="0"/>
          <w:divBdr>
            <w:top w:val="none" w:sz="0" w:space="0" w:color="auto"/>
            <w:left w:val="none" w:sz="0" w:space="0" w:color="auto"/>
            <w:bottom w:val="none" w:sz="0" w:space="0" w:color="auto"/>
            <w:right w:val="none" w:sz="0" w:space="0" w:color="auto"/>
          </w:divBdr>
        </w:div>
        <w:div w:id="929891573">
          <w:marLeft w:val="691"/>
          <w:marRight w:val="0"/>
          <w:marTop w:val="240"/>
          <w:marBottom w:val="0"/>
          <w:divBdr>
            <w:top w:val="none" w:sz="0" w:space="0" w:color="auto"/>
            <w:left w:val="none" w:sz="0" w:space="0" w:color="auto"/>
            <w:bottom w:val="none" w:sz="0" w:space="0" w:color="auto"/>
            <w:right w:val="none" w:sz="0" w:space="0" w:color="auto"/>
          </w:divBdr>
        </w:div>
        <w:div w:id="687483815">
          <w:marLeft w:val="691"/>
          <w:marRight w:val="0"/>
          <w:marTop w:val="240"/>
          <w:marBottom w:val="0"/>
          <w:divBdr>
            <w:top w:val="none" w:sz="0" w:space="0" w:color="auto"/>
            <w:left w:val="none" w:sz="0" w:space="0" w:color="auto"/>
            <w:bottom w:val="none" w:sz="0" w:space="0" w:color="auto"/>
            <w:right w:val="none" w:sz="0" w:space="0" w:color="auto"/>
          </w:divBdr>
        </w:div>
        <w:div w:id="1301230595">
          <w:marLeft w:val="691"/>
          <w:marRight w:val="0"/>
          <w:marTop w:val="240"/>
          <w:marBottom w:val="0"/>
          <w:divBdr>
            <w:top w:val="none" w:sz="0" w:space="0" w:color="auto"/>
            <w:left w:val="none" w:sz="0" w:space="0" w:color="auto"/>
            <w:bottom w:val="none" w:sz="0" w:space="0" w:color="auto"/>
            <w:right w:val="none" w:sz="0" w:space="0" w:color="auto"/>
          </w:divBdr>
        </w:div>
        <w:div w:id="1428696860">
          <w:marLeft w:val="691"/>
          <w:marRight w:val="0"/>
          <w:marTop w:val="240"/>
          <w:marBottom w:val="0"/>
          <w:divBdr>
            <w:top w:val="none" w:sz="0" w:space="0" w:color="auto"/>
            <w:left w:val="none" w:sz="0" w:space="0" w:color="auto"/>
            <w:bottom w:val="none" w:sz="0" w:space="0" w:color="auto"/>
            <w:right w:val="none" w:sz="0" w:space="0" w:color="auto"/>
          </w:divBdr>
        </w:div>
        <w:div w:id="1188183274">
          <w:marLeft w:val="691"/>
          <w:marRight w:val="0"/>
          <w:marTop w:val="240"/>
          <w:marBottom w:val="0"/>
          <w:divBdr>
            <w:top w:val="none" w:sz="0" w:space="0" w:color="auto"/>
            <w:left w:val="none" w:sz="0" w:space="0" w:color="auto"/>
            <w:bottom w:val="none" w:sz="0" w:space="0" w:color="auto"/>
            <w:right w:val="none" w:sz="0" w:space="0" w:color="auto"/>
          </w:divBdr>
        </w:div>
        <w:div w:id="1837722893">
          <w:marLeft w:val="691"/>
          <w:marRight w:val="0"/>
          <w:marTop w:val="240"/>
          <w:marBottom w:val="0"/>
          <w:divBdr>
            <w:top w:val="none" w:sz="0" w:space="0" w:color="auto"/>
            <w:left w:val="none" w:sz="0" w:space="0" w:color="auto"/>
            <w:bottom w:val="none" w:sz="0" w:space="0" w:color="auto"/>
            <w:right w:val="none" w:sz="0" w:space="0" w:color="auto"/>
          </w:divBdr>
        </w:div>
      </w:divsChild>
    </w:div>
    <w:div w:id="1102651556">
      <w:bodyDiv w:val="1"/>
      <w:marLeft w:val="0"/>
      <w:marRight w:val="0"/>
      <w:marTop w:val="0"/>
      <w:marBottom w:val="0"/>
      <w:divBdr>
        <w:top w:val="none" w:sz="0" w:space="0" w:color="auto"/>
        <w:left w:val="none" w:sz="0" w:space="0" w:color="auto"/>
        <w:bottom w:val="none" w:sz="0" w:space="0" w:color="auto"/>
        <w:right w:val="none" w:sz="0" w:space="0" w:color="auto"/>
      </w:divBdr>
      <w:divsChild>
        <w:div w:id="2059932254">
          <w:marLeft w:val="691"/>
          <w:marRight w:val="0"/>
          <w:marTop w:val="0"/>
          <w:marBottom w:val="0"/>
          <w:divBdr>
            <w:top w:val="none" w:sz="0" w:space="0" w:color="auto"/>
            <w:left w:val="none" w:sz="0" w:space="0" w:color="auto"/>
            <w:bottom w:val="none" w:sz="0" w:space="0" w:color="auto"/>
            <w:right w:val="none" w:sz="0" w:space="0" w:color="auto"/>
          </w:divBdr>
        </w:div>
        <w:div w:id="1832403352">
          <w:marLeft w:val="691"/>
          <w:marRight w:val="0"/>
          <w:marTop w:val="0"/>
          <w:marBottom w:val="0"/>
          <w:divBdr>
            <w:top w:val="none" w:sz="0" w:space="0" w:color="auto"/>
            <w:left w:val="none" w:sz="0" w:space="0" w:color="auto"/>
            <w:bottom w:val="none" w:sz="0" w:space="0" w:color="auto"/>
            <w:right w:val="none" w:sz="0" w:space="0" w:color="auto"/>
          </w:divBdr>
        </w:div>
        <w:div w:id="1513841202">
          <w:marLeft w:val="691"/>
          <w:marRight w:val="0"/>
          <w:marTop w:val="0"/>
          <w:marBottom w:val="0"/>
          <w:divBdr>
            <w:top w:val="none" w:sz="0" w:space="0" w:color="auto"/>
            <w:left w:val="none" w:sz="0" w:space="0" w:color="auto"/>
            <w:bottom w:val="none" w:sz="0" w:space="0" w:color="auto"/>
            <w:right w:val="none" w:sz="0" w:space="0" w:color="auto"/>
          </w:divBdr>
        </w:div>
        <w:div w:id="2088379263">
          <w:marLeft w:val="691"/>
          <w:marRight w:val="0"/>
          <w:marTop w:val="0"/>
          <w:marBottom w:val="0"/>
          <w:divBdr>
            <w:top w:val="none" w:sz="0" w:space="0" w:color="auto"/>
            <w:left w:val="none" w:sz="0" w:space="0" w:color="auto"/>
            <w:bottom w:val="none" w:sz="0" w:space="0" w:color="auto"/>
            <w:right w:val="none" w:sz="0" w:space="0" w:color="auto"/>
          </w:divBdr>
        </w:div>
        <w:div w:id="1852067993">
          <w:marLeft w:val="691"/>
          <w:marRight w:val="0"/>
          <w:marTop w:val="0"/>
          <w:marBottom w:val="0"/>
          <w:divBdr>
            <w:top w:val="none" w:sz="0" w:space="0" w:color="auto"/>
            <w:left w:val="none" w:sz="0" w:space="0" w:color="auto"/>
            <w:bottom w:val="none" w:sz="0" w:space="0" w:color="auto"/>
            <w:right w:val="none" w:sz="0" w:space="0" w:color="auto"/>
          </w:divBdr>
        </w:div>
        <w:div w:id="532885360">
          <w:marLeft w:val="691"/>
          <w:marRight w:val="0"/>
          <w:marTop w:val="0"/>
          <w:marBottom w:val="0"/>
          <w:divBdr>
            <w:top w:val="none" w:sz="0" w:space="0" w:color="auto"/>
            <w:left w:val="none" w:sz="0" w:space="0" w:color="auto"/>
            <w:bottom w:val="none" w:sz="0" w:space="0" w:color="auto"/>
            <w:right w:val="none" w:sz="0" w:space="0" w:color="auto"/>
          </w:divBdr>
        </w:div>
        <w:div w:id="585767088">
          <w:marLeft w:val="691"/>
          <w:marRight w:val="0"/>
          <w:marTop w:val="0"/>
          <w:marBottom w:val="0"/>
          <w:divBdr>
            <w:top w:val="none" w:sz="0" w:space="0" w:color="auto"/>
            <w:left w:val="none" w:sz="0" w:space="0" w:color="auto"/>
            <w:bottom w:val="none" w:sz="0" w:space="0" w:color="auto"/>
            <w:right w:val="none" w:sz="0" w:space="0" w:color="auto"/>
          </w:divBdr>
        </w:div>
        <w:div w:id="196089415">
          <w:marLeft w:val="691"/>
          <w:marRight w:val="0"/>
          <w:marTop w:val="0"/>
          <w:marBottom w:val="0"/>
          <w:divBdr>
            <w:top w:val="none" w:sz="0" w:space="0" w:color="auto"/>
            <w:left w:val="none" w:sz="0" w:space="0" w:color="auto"/>
            <w:bottom w:val="none" w:sz="0" w:space="0" w:color="auto"/>
            <w:right w:val="none" w:sz="0" w:space="0" w:color="auto"/>
          </w:divBdr>
        </w:div>
      </w:divsChild>
    </w:div>
    <w:div w:id="1115637859">
      <w:bodyDiv w:val="1"/>
      <w:marLeft w:val="0"/>
      <w:marRight w:val="0"/>
      <w:marTop w:val="0"/>
      <w:marBottom w:val="0"/>
      <w:divBdr>
        <w:top w:val="none" w:sz="0" w:space="0" w:color="auto"/>
        <w:left w:val="none" w:sz="0" w:space="0" w:color="auto"/>
        <w:bottom w:val="none" w:sz="0" w:space="0" w:color="auto"/>
        <w:right w:val="none" w:sz="0" w:space="0" w:color="auto"/>
      </w:divBdr>
    </w:div>
    <w:div w:id="1258753743">
      <w:bodyDiv w:val="1"/>
      <w:marLeft w:val="0"/>
      <w:marRight w:val="0"/>
      <w:marTop w:val="0"/>
      <w:marBottom w:val="0"/>
      <w:divBdr>
        <w:top w:val="none" w:sz="0" w:space="0" w:color="auto"/>
        <w:left w:val="none" w:sz="0" w:space="0" w:color="auto"/>
        <w:bottom w:val="none" w:sz="0" w:space="0" w:color="auto"/>
        <w:right w:val="none" w:sz="0" w:space="0" w:color="auto"/>
      </w:divBdr>
      <w:divsChild>
        <w:div w:id="1462764628">
          <w:marLeft w:val="720"/>
          <w:marRight w:val="0"/>
          <w:marTop w:val="0"/>
          <w:marBottom w:val="0"/>
          <w:divBdr>
            <w:top w:val="none" w:sz="0" w:space="0" w:color="auto"/>
            <w:left w:val="none" w:sz="0" w:space="0" w:color="auto"/>
            <w:bottom w:val="none" w:sz="0" w:space="0" w:color="auto"/>
            <w:right w:val="none" w:sz="0" w:space="0" w:color="auto"/>
          </w:divBdr>
        </w:div>
        <w:div w:id="2026131482">
          <w:marLeft w:val="720"/>
          <w:marRight w:val="0"/>
          <w:marTop w:val="0"/>
          <w:marBottom w:val="0"/>
          <w:divBdr>
            <w:top w:val="none" w:sz="0" w:space="0" w:color="auto"/>
            <w:left w:val="none" w:sz="0" w:space="0" w:color="auto"/>
            <w:bottom w:val="none" w:sz="0" w:space="0" w:color="auto"/>
            <w:right w:val="none" w:sz="0" w:space="0" w:color="auto"/>
          </w:divBdr>
        </w:div>
        <w:div w:id="863709904">
          <w:marLeft w:val="720"/>
          <w:marRight w:val="0"/>
          <w:marTop w:val="0"/>
          <w:marBottom w:val="0"/>
          <w:divBdr>
            <w:top w:val="none" w:sz="0" w:space="0" w:color="auto"/>
            <w:left w:val="none" w:sz="0" w:space="0" w:color="auto"/>
            <w:bottom w:val="none" w:sz="0" w:space="0" w:color="auto"/>
            <w:right w:val="none" w:sz="0" w:space="0" w:color="auto"/>
          </w:divBdr>
        </w:div>
        <w:div w:id="30687356">
          <w:marLeft w:val="720"/>
          <w:marRight w:val="0"/>
          <w:marTop w:val="0"/>
          <w:marBottom w:val="0"/>
          <w:divBdr>
            <w:top w:val="none" w:sz="0" w:space="0" w:color="auto"/>
            <w:left w:val="none" w:sz="0" w:space="0" w:color="auto"/>
            <w:bottom w:val="none" w:sz="0" w:space="0" w:color="auto"/>
            <w:right w:val="none" w:sz="0" w:space="0" w:color="auto"/>
          </w:divBdr>
        </w:div>
        <w:div w:id="1578902899">
          <w:marLeft w:val="720"/>
          <w:marRight w:val="0"/>
          <w:marTop w:val="0"/>
          <w:marBottom w:val="0"/>
          <w:divBdr>
            <w:top w:val="none" w:sz="0" w:space="0" w:color="auto"/>
            <w:left w:val="none" w:sz="0" w:space="0" w:color="auto"/>
            <w:bottom w:val="none" w:sz="0" w:space="0" w:color="auto"/>
            <w:right w:val="none" w:sz="0" w:space="0" w:color="auto"/>
          </w:divBdr>
        </w:div>
        <w:div w:id="1902137019">
          <w:marLeft w:val="720"/>
          <w:marRight w:val="0"/>
          <w:marTop w:val="0"/>
          <w:marBottom w:val="0"/>
          <w:divBdr>
            <w:top w:val="none" w:sz="0" w:space="0" w:color="auto"/>
            <w:left w:val="none" w:sz="0" w:space="0" w:color="auto"/>
            <w:bottom w:val="none" w:sz="0" w:space="0" w:color="auto"/>
            <w:right w:val="none" w:sz="0" w:space="0" w:color="auto"/>
          </w:divBdr>
        </w:div>
        <w:div w:id="687680770">
          <w:marLeft w:val="720"/>
          <w:marRight w:val="0"/>
          <w:marTop w:val="0"/>
          <w:marBottom w:val="0"/>
          <w:divBdr>
            <w:top w:val="none" w:sz="0" w:space="0" w:color="auto"/>
            <w:left w:val="none" w:sz="0" w:space="0" w:color="auto"/>
            <w:bottom w:val="none" w:sz="0" w:space="0" w:color="auto"/>
            <w:right w:val="none" w:sz="0" w:space="0" w:color="auto"/>
          </w:divBdr>
        </w:div>
        <w:div w:id="1966618318">
          <w:marLeft w:val="720"/>
          <w:marRight w:val="0"/>
          <w:marTop w:val="0"/>
          <w:marBottom w:val="0"/>
          <w:divBdr>
            <w:top w:val="none" w:sz="0" w:space="0" w:color="auto"/>
            <w:left w:val="none" w:sz="0" w:space="0" w:color="auto"/>
            <w:bottom w:val="none" w:sz="0" w:space="0" w:color="auto"/>
            <w:right w:val="none" w:sz="0" w:space="0" w:color="auto"/>
          </w:divBdr>
        </w:div>
        <w:div w:id="1649748423">
          <w:marLeft w:val="720"/>
          <w:marRight w:val="0"/>
          <w:marTop w:val="0"/>
          <w:marBottom w:val="0"/>
          <w:divBdr>
            <w:top w:val="none" w:sz="0" w:space="0" w:color="auto"/>
            <w:left w:val="none" w:sz="0" w:space="0" w:color="auto"/>
            <w:bottom w:val="none" w:sz="0" w:space="0" w:color="auto"/>
            <w:right w:val="none" w:sz="0" w:space="0" w:color="auto"/>
          </w:divBdr>
        </w:div>
        <w:div w:id="684134926">
          <w:marLeft w:val="720"/>
          <w:marRight w:val="0"/>
          <w:marTop w:val="0"/>
          <w:marBottom w:val="0"/>
          <w:divBdr>
            <w:top w:val="none" w:sz="0" w:space="0" w:color="auto"/>
            <w:left w:val="none" w:sz="0" w:space="0" w:color="auto"/>
            <w:bottom w:val="none" w:sz="0" w:space="0" w:color="auto"/>
            <w:right w:val="none" w:sz="0" w:space="0" w:color="auto"/>
          </w:divBdr>
        </w:div>
        <w:div w:id="134641908">
          <w:marLeft w:val="720"/>
          <w:marRight w:val="0"/>
          <w:marTop w:val="0"/>
          <w:marBottom w:val="0"/>
          <w:divBdr>
            <w:top w:val="none" w:sz="0" w:space="0" w:color="auto"/>
            <w:left w:val="none" w:sz="0" w:space="0" w:color="auto"/>
            <w:bottom w:val="none" w:sz="0" w:space="0" w:color="auto"/>
            <w:right w:val="none" w:sz="0" w:space="0" w:color="auto"/>
          </w:divBdr>
        </w:div>
        <w:div w:id="956378124">
          <w:marLeft w:val="720"/>
          <w:marRight w:val="0"/>
          <w:marTop w:val="0"/>
          <w:marBottom w:val="0"/>
          <w:divBdr>
            <w:top w:val="none" w:sz="0" w:space="0" w:color="auto"/>
            <w:left w:val="none" w:sz="0" w:space="0" w:color="auto"/>
            <w:bottom w:val="none" w:sz="0" w:space="0" w:color="auto"/>
            <w:right w:val="none" w:sz="0" w:space="0" w:color="auto"/>
          </w:divBdr>
        </w:div>
        <w:div w:id="1522474727">
          <w:marLeft w:val="720"/>
          <w:marRight w:val="0"/>
          <w:marTop w:val="0"/>
          <w:marBottom w:val="0"/>
          <w:divBdr>
            <w:top w:val="none" w:sz="0" w:space="0" w:color="auto"/>
            <w:left w:val="none" w:sz="0" w:space="0" w:color="auto"/>
            <w:bottom w:val="none" w:sz="0" w:space="0" w:color="auto"/>
            <w:right w:val="none" w:sz="0" w:space="0" w:color="auto"/>
          </w:divBdr>
        </w:div>
        <w:div w:id="657809617">
          <w:marLeft w:val="720"/>
          <w:marRight w:val="0"/>
          <w:marTop w:val="0"/>
          <w:marBottom w:val="0"/>
          <w:divBdr>
            <w:top w:val="none" w:sz="0" w:space="0" w:color="auto"/>
            <w:left w:val="none" w:sz="0" w:space="0" w:color="auto"/>
            <w:bottom w:val="none" w:sz="0" w:space="0" w:color="auto"/>
            <w:right w:val="none" w:sz="0" w:space="0" w:color="auto"/>
          </w:divBdr>
        </w:div>
      </w:divsChild>
    </w:div>
    <w:div w:id="1293751502">
      <w:bodyDiv w:val="1"/>
      <w:marLeft w:val="0"/>
      <w:marRight w:val="0"/>
      <w:marTop w:val="0"/>
      <w:marBottom w:val="0"/>
      <w:divBdr>
        <w:top w:val="none" w:sz="0" w:space="0" w:color="auto"/>
        <w:left w:val="none" w:sz="0" w:space="0" w:color="auto"/>
        <w:bottom w:val="none" w:sz="0" w:space="0" w:color="auto"/>
        <w:right w:val="none" w:sz="0" w:space="0" w:color="auto"/>
      </w:divBdr>
      <w:divsChild>
        <w:div w:id="1692758009">
          <w:marLeft w:val="1296"/>
          <w:marRight w:val="0"/>
          <w:marTop w:val="240"/>
          <w:marBottom w:val="0"/>
          <w:divBdr>
            <w:top w:val="none" w:sz="0" w:space="0" w:color="auto"/>
            <w:left w:val="none" w:sz="0" w:space="0" w:color="auto"/>
            <w:bottom w:val="none" w:sz="0" w:space="0" w:color="auto"/>
            <w:right w:val="none" w:sz="0" w:space="0" w:color="auto"/>
          </w:divBdr>
        </w:div>
        <w:div w:id="1909609787">
          <w:marLeft w:val="1296"/>
          <w:marRight w:val="0"/>
          <w:marTop w:val="240"/>
          <w:marBottom w:val="0"/>
          <w:divBdr>
            <w:top w:val="none" w:sz="0" w:space="0" w:color="auto"/>
            <w:left w:val="none" w:sz="0" w:space="0" w:color="auto"/>
            <w:bottom w:val="none" w:sz="0" w:space="0" w:color="auto"/>
            <w:right w:val="none" w:sz="0" w:space="0" w:color="auto"/>
          </w:divBdr>
        </w:div>
      </w:divsChild>
    </w:div>
    <w:div w:id="1473674185">
      <w:bodyDiv w:val="1"/>
      <w:marLeft w:val="0"/>
      <w:marRight w:val="0"/>
      <w:marTop w:val="0"/>
      <w:marBottom w:val="0"/>
      <w:divBdr>
        <w:top w:val="none" w:sz="0" w:space="0" w:color="auto"/>
        <w:left w:val="none" w:sz="0" w:space="0" w:color="auto"/>
        <w:bottom w:val="none" w:sz="0" w:space="0" w:color="auto"/>
        <w:right w:val="none" w:sz="0" w:space="0" w:color="auto"/>
      </w:divBdr>
    </w:div>
    <w:div w:id="1559434341">
      <w:bodyDiv w:val="1"/>
      <w:marLeft w:val="0"/>
      <w:marRight w:val="0"/>
      <w:marTop w:val="0"/>
      <w:marBottom w:val="0"/>
      <w:divBdr>
        <w:top w:val="none" w:sz="0" w:space="0" w:color="auto"/>
        <w:left w:val="none" w:sz="0" w:space="0" w:color="auto"/>
        <w:bottom w:val="none" w:sz="0" w:space="0" w:color="auto"/>
        <w:right w:val="none" w:sz="0" w:space="0" w:color="auto"/>
      </w:divBdr>
      <w:divsChild>
        <w:div w:id="1732269988">
          <w:marLeft w:val="691"/>
          <w:marRight w:val="0"/>
          <w:marTop w:val="0"/>
          <w:marBottom w:val="0"/>
          <w:divBdr>
            <w:top w:val="none" w:sz="0" w:space="0" w:color="auto"/>
            <w:left w:val="none" w:sz="0" w:space="0" w:color="auto"/>
            <w:bottom w:val="none" w:sz="0" w:space="0" w:color="auto"/>
            <w:right w:val="none" w:sz="0" w:space="0" w:color="auto"/>
          </w:divBdr>
        </w:div>
        <w:div w:id="652612149">
          <w:marLeft w:val="691"/>
          <w:marRight w:val="0"/>
          <w:marTop w:val="0"/>
          <w:marBottom w:val="0"/>
          <w:divBdr>
            <w:top w:val="none" w:sz="0" w:space="0" w:color="auto"/>
            <w:left w:val="none" w:sz="0" w:space="0" w:color="auto"/>
            <w:bottom w:val="none" w:sz="0" w:space="0" w:color="auto"/>
            <w:right w:val="none" w:sz="0" w:space="0" w:color="auto"/>
          </w:divBdr>
        </w:div>
        <w:div w:id="1340696766">
          <w:marLeft w:val="691"/>
          <w:marRight w:val="0"/>
          <w:marTop w:val="0"/>
          <w:marBottom w:val="0"/>
          <w:divBdr>
            <w:top w:val="none" w:sz="0" w:space="0" w:color="auto"/>
            <w:left w:val="none" w:sz="0" w:space="0" w:color="auto"/>
            <w:bottom w:val="none" w:sz="0" w:space="0" w:color="auto"/>
            <w:right w:val="none" w:sz="0" w:space="0" w:color="auto"/>
          </w:divBdr>
        </w:div>
        <w:div w:id="619651237">
          <w:marLeft w:val="691"/>
          <w:marRight w:val="0"/>
          <w:marTop w:val="0"/>
          <w:marBottom w:val="0"/>
          <w:divBdr>
            <w:top w:val="none" w:sz="0" w:space="0" w:color="auto"/>
            <w:left w:val="none" w:sz="0" w:space="0" w:color="auto"/>
            <w:bottom w:val="none" w:sz="0" w:space="0" w:color="auto"/>
            <w:right w:val="none" w:sz="0" w:space="0" w:color="auto"/>
          </w:divBdr>
        </w:div>
        <w:div w:id="893128018">
          <w:marLeft w:val="691"/>
          <w:marRight w:val="0"/>
          <w:marTop w:val="0"/>
          <w:marBottom w:val="0"/>
          <w:divBdr>
            <w:top w:val="none" w:sz="0" w:space="0" w:color="auto"/>
            <w:left w:val="none" w:sz="0" w:space="0" w:color="auto"/>
            <w:bottom w:val="none" w:sz="0" w:space="0" w:color="auto"/>
            <w:right w:val="none" w:sz="0" w:space="0" w:color="auto"/>
          </w:divBdr>
        </w:div>
        <w:div w:id="1753232788">
          <w:marLeft w:val="691"/>
          <w:marRight w:val="0"/>
          <w:marTop w:val="0"/>
          <w:marBottom w:val="0"/>
          <w:divBdr>
            <w:top w:val="none" w:sz="0" w:space="0" w:color="auto"/>
            <w:left w:val="none" w:sz="0" w:space="0" w:color="auto"/>
            <w:bottom w:val="none" w:sz="0" w:space="0" w:color="auto"/>
            <w:right w:val="none" w:sz="0" w:space="0" w:color="auto"/>
          </w:divBdr>
        </w:div>
        <w:div w:id="604507711">
          <w:marLeft w:val="691"/>
          <w:marRight w:val="0"/>
          <w:marTop w:val="0"/>
          <w:marBottom w:val="0"/>
          <w:divBdr>
            <w:top w:val="none" w:sz="0" w:space="0" w:color="auto"/>
            <w:left w:val="none" w:sz="0" w:space="0" w:color="auto"/>
            <w:bottom w:val="none" w:sz="0" w:space="0" w:color="auto"/>
            <w:right w:val="none" w:sz="0" w:space="0" w:color="auto"/>
          </w:divBdr>
        </w:div>
        <w:div w:id="941843360">
          <w:marLeft w:val="691"/>
          <w:marRight w:val="0"/>
          <w:marTop w:val="0"/>
          <w:marBottom w:val="0"/>
          <w:divBdr>
            <w:top w:val="none" w:sz="0" w:space="0" w:color="auto"/>
            <w:left w:val="none" w:sz="0" w:space="0" w:color="auto"/>
            <w:bottom w:val="none" w:sz="0" w:space="0" w:color="auto"/>
            <w:right w:val="none" w:sz="0" w:space="0" w:color="auto"/>
          </w:divBdr>
        </w:div>
        <w:div w:id="192694816">
          <w:marLeft w:val="691"/>
          <w:marRight w:val="0"/>
          <w:marTop w:val="0"/>
          <w:marBottom w:val="0"/>
          <w:divBdr>
            <w:top w:val="none" w:sz="0" w:space="0" w:color="auto"/>
            <w:left w:val="none" w:sz="0" w:space="0" w:color="auto"/>
            <w:bottom w:val="none" w:sz="0" w:space="0" w:color="auto"/>
            <w:right w:val="none" w:sz="0" w:space="0" w:color="auto"/>
          </w:divBdr>
        </w:div>
      </w:divsChild>
    </w:div>
    <w:div w:id="1823037023">
      <w:bodyDiv w:val="1"/>
      <w:marLeft w:val="0"/>
      <w:marRight w:val="0"/>
      <w:marTop w:val="0"/>
      <w:marBottom w:val="0"/>
      <w:divBdr>
        <w:top w:val="none" w:sz="0" w:space="0" w:color="auto"/>
        <w:left w:val="none" w:sz="0" w:space="0" w:color="auto"/>
        <w:bottom w:val="none" w:sz="0" w:space="0" w:color="auto"/>
        <w:right w:val="none" w:sz="0" w:space="0" w:color="auto"/>
      </w:divBdr>
      <w:divsChild>
        <w:div w:id="957104415">
          <w:marLeft w:val="605"/>
          <w:marRight w:val="0"/>
          <w:marTop w:val="200"/>
          <w:marBottom w:val="0"/>
          <w:divBdr>
            <w:top w:val="none" w:sz="0" w:space="0" w:color="auto"/>
            <w:left w:val="none" w:sz="0" w:space="0" w:color="auto"/>
            <w:bottom w:val="none" w:sz="0" w:space="0" w:color="auto"/>
            <w:right w:val="none" w:sz="0" w:space="0" w:color="auto"/>
          </w:divBdr>
        </w:div>
        <w:div w:id="1530988623">
          <w:marLeft w:val="605"/>
          <w:marRight w:val="0"/>
          <w:marTop w:val="200"/>
          <w:marBottom w:val="0"/>
          <w:divBdr>
            <w:top w:val="none" w:sz="0" w:space="0" w:color="auto"/>
            <w:left w:val="none" w:sz="0" w:space="0" w:color="auto"/>
            <w:bottom w:val="none" w:sz="0" w:space="0" w:color="auto"/>
            <w:right w:val="none" w:sz="0" w:space="0" w:color="auto"/>
          </w:divBdr>
        </w:div>
        <w:div w:id="1435124878">
          <w:marLeft w:val="605"/>
          <w:marRight w:val="0"/>
          <w:marTop w:val="200"/>
          <w:marBottom w:val="0"/>
          <w:divBdr>
            <w:top w:val="none" w:sz="0" w:space="0" w:color="auto"/>
            <w:left w:val="none" w:sz="0" w:space="0" w:color="auto"/>
            <w:bottom w:val="none" w:sz="0" w:space="0" w:color="auto"/>
            <w:right w:val="none" w:sz="0" w:space="0" w:color="auto"/>
          </w:divBdr>
        </w:div>
        <w:div w:id="1681227688">
          <w:marLeft w:val="605"/>
          <w:marRight w:val="0"/>
          <w:marTop w:val="200"/>
          <w:marBottom w:val="0"/>
          <w:divBdr>
            <w:top w:val="none" w:sz="0" w:space="0" w:color="auto"/>
            <w:left w:val="none" w:sz="0" w:space="0" w:color="auto"/>
            <w:bottom w:val="none" w:sz="0" w:space="0" w:color="auto"/>
            <w:right w:val="none" w:sz="0" w:space="0" w:color="auto"/>
          </w:divBdr>
        </w:div>
        <w:div w:id="614211533">
          <w:marLeft w:val="605"/>
          <w:marRight w:val="0"/>
          <w:marTop w:val="200"/>
          <w:marBottom w:val="0"/>
          <w:divBdr>
            <w:top w:val="none" w:sz="0" w:space="0" w:color="auto"/>
            <w:left w:val="none" w:sz="0" w:space="0" w:color="auto"/>
            <w:bottom w:val="none" w:sz="0" w:space="0" w:color="auto"/>
            <w:right w:val="none" w:sz="0" w:space="0" w:color="auto"/>
          </w:divBdr>
        </w:div>
        <w:div w:id="2113621884">
          <w:marLeft w:val="605"/>
          <w:marRight w:val="0"/>
          <w:marTop w:val="200"/>
          <w:marBottom w:val="0"/>
          <w:divBdr>
            <w:top w:val="none" w:sz="0" w:space="0" w:color="auto"/>
            <w:left w:val="none" w:sz="0" w:space="0" w:color="auto"/>
            <w:bottom w:val="none" w:sz="0" w:space="0" w:color="auto"/>
            <w:right w:val="none" w:sz="0" w:space="0" w:color="auto"/>
          </w:divBdr>
        </w:div>
        <w:div w:id="1163204644">
          <w:marLeft w:val="605"/>
          <w:marRight w:val="0"/>
          <w:marTop w:val="200"/>
          <w:marBottom w:val="0"/>
          <w:divBdr>
            <w:top w:val="none" w:sz="0" w:space="0" w:color="auto"/>
            <w:left w:val="none" w:sz="0" w:space="0" w:color="auto"/>
            <w:bottom w:val="none" w:sz="0" w:space="0" w:color="auto"/>
            <w:right w:val="none" w:sz="0" w:space="0" w:color="auto"/>
          </w:divBdr>
        </w:div>
        <w:div w:id="93861491">
          <w:marLeft w:val="605"/>
          <w:marRight w:val="0"/>
          <w:marTop w:val="200"/>
          <w:marBottom w:val="0"/>
          <w:divBdr>
            <w:top w:val="none" w:sz="0" w:space="0" w:color="auto"/>
            <w:left w:val="none" w:sz="0" w:space="0" w:color="auto"/>
            <w:bottom w:val="none" w:sz="0" w:space="0" w:color="auto"/>
            <w:right w:val="none" w:sz="0" w:space="0" w:color="auto"/>
          </w:divBdr>
        </w:div>
      </w:divsChild>
    </w:div>
    <w:div w:id="1829637681">
      <w:bodyDiv w:val="1"/>
      <w:marLeft w:val="0"/>
      <w:marRight w:val="0"/>
      <w:marTop w:val="0"/>
      <w:marBottom w:val="0"/>
      <w:divBdr>
        <w:top w:val="none" w:sz="0" w:space="0" w:color="auto"/>
        <w:left w:val="none" w:sz="0" w:space="0" w:color="auto"/>
        <w:bottom w:val="none" w:sz="0" w:space="0" w:color="auto"/>
        <w:right w:val="none" w:sz="0" w:space="0" w:color="auto"/>
      </w:divBdr>
    </w:div>
    <w:div w:id="19599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reglement-europeen-protection-donnees" TargetMode="External"/><Relationship Id="rId3" Type="http://schemas.openxmlformats.org/officeDocument/2006/relationships/styles" Target="styles.xml"/><Relationship Id="rId7" Type="http://schemas.openxmlformats.org/officeDocument/2006/relationships/hyperlink" Target="https://www.cnil.fr/fr/reglement-europeen-protection-donne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il.fr/fr/reglement-europeen-protection-donne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nil.fr/fr/reglement-europeen-protection-donnees" TargetMode="External"/><Relationship Id="rId4" Type="http://schemas.openxmlformats.org/officeDocument/2006/relationships/settings" Target="settings.xml"/><Relationship Id="rId9" Type="http://schemas.openxmlformats.org/officeDocument/2006/relationships/hyperlink" Target="https://www.cnil.fr/fr/reglement-europeen-protection-donn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D0E07-8118-4F46-BCC4-91E26CCA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4175</Words>
  <Characters>22968</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Cécilia Coen</cp:lastModifiedBy>
  <cp:revision>24</cp:revision>
  <cp:lastPrinted>2022-11-02T17:49:00Z</cp:lastPrinted>
  <dcterms:created xsi:type="dcterms:W3CDTF">2022-11-02T16:19:00Z</dcterms:created>
  <dcterms:modified xsi:type="dcterms:W3CDTF">2022-11-02T17:49:00Z</dcterms:modified>
</cp:coreProperties>
</file>