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A5EF" w14:textId="44A533EA" w:rsidR="00B343C8" w:rsidRPr="009256AD" w:rsidRDefault="00B343C8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Capsule</w:t>
      </w:r>
      <w:r w:rsidR="00AC2CBE" w:rsidRPr="009256AD">
        <w:rPr>
          <w:sz w:val="36"/>
          <w:szCs w:val="32"/>
        </w:rPr>
        <w:t xml:space="preserve"> </w:t>
      </w:r>
      <w:r w:rsidRPr="009256AD">
        <w:rPr>
          <w:sz w:val="36"/>
          <w:szCs w:val="32"/>
        </w:rPr>
        <w:t>« Maison des usagers et</w:t>
      </w:r>
      <w:r w:rsidR="00AC2CBE" w:rsidRPr="009256AD">
        <w:rPr>
          <w:sz w:val="36"/>
          <w:szCs w:val="32"/>
        </w:rPr>
        <w:t xml:space="preserve"> </w:t>
      </w:r>
      <w:r w:rsidRPr="009256AD">
        <w:rPr>
          <w:sz w:val="36"/>
          <w:szCs w:val="32"/>
        </w:rPr>
        <w:t>des associations »</w:t>
      </w:r>
    </w:p>
    <w:p w14:paraId="348DA089" w14:textId="77777777" w:rsidR="00B343C8" w:rsidRPr="009256AD" w:rsidRDefault="00B343C8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Intervention d’octobre 2022</w:t>
      </w:r>
    </w:p>
    <w:p w14:paraId="5F0F9ED7" w14:textId="4B0D90BC" w:rsidR="00B34938" w:rsidRPr="009256AD" w:rsidRDefault="00B343C8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Enola CONRAD</w:t>
      </w:r>
    </w:p>
    <w:p w14:paraId="0F2A4CCB" w14:textId="5F668F38" w:rsidR="00AC2CBE" w:rsidRDefault="00AC2CBE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Centre Hospitalier National d’ophtalmologie des quinze vingt</w:t>
      </w:r>
    </w:p>
    <w:p w14:paraId="7C913F1E" w14:textId="569F2F4E" w:rsidR="00190D1F" w:rsidRDefault="00190D1F" w:rsidP="00190D1F">
      <w:pPr>
        <w:rPr>
          <w:sz w:val="36"/>
          <w:szCs w:val="32"/>
        </w:rPr>
      </w:pPr>
    </w:p>
    <w:p w14:paraId="50501188" w14:textId="170B8378" w:rsidR="00B343C8" w:rsidRDefault="00190D1F" w:rsidP="009256AD">
      <w:r>
        <w:t xml:space="preserve">Ce document décrit la présentation power point de Madame Enola Conrad qui contient 19 diapos qui seront regroupées en neufs chapitres listés dans la table des matières </w:t>
      </w:r>
      <w:r w:rsidR="00BF4EEE">
        <w:t>ci-dessous</w:t>
      </w:r>
      <w:r>
        <w:t>.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234081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25C2C7" w14:textId="00DEA906" w:rsidR="00995715" w:rsidRDefault="00995715">
          <w:pPr>
            <w:pStyle w:val="En-ttedetabledesmatires"/>
          </w:pPr>
          <w:r>
            <w:t>Table des matières</w:t>
          </w:r>
        </w:p>
        <w:p w14:paraId="2ECB53E3" w14:textId="7B671C53" w:rsidR="00BF4EEE" w:rsidRDefault="0099571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96143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Maison des usagers et des associations - MDUA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_Toc115796143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2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95DF2CC" w14:textId="165197D9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4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MDUA au sein des 15-20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_Toc115796144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2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343852F4" w14:textId="1B32BCF4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5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associations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_Toc115796145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2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FD3221F" w14:textId="613A6EDA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6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associations partenaires en date du 15 aout 2022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_Toc115796146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1D0E40B" w14:textId="49FB67F7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7" w:history="1">
            <w:r w:rsidR="00BF4EEE" w:rsidRPr="00F93702">
              <w:rPr>
                <w:rStyle w:val="Lienhypertexte"/>
                <w:noProof/>
              </w:rPr>
              <w:t>5.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droits des patients/ droits des personnes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_Toc115796147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5C93950" w14:textId="6DD036F5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8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 respect de la dignité de la personne humaine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_Toc115796148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3A87832" w14:textId="16EBCC7C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9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l’accès aux soins et au choix du médecin.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_Toc115796149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5117F09A" w14:textId="64D8C43C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0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la non-discrimination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_Toc115796150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E762701" w14:textId="267654C3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1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l’information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_Toc115796151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35C309C9" w14:textId="720A6E43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2" w:history="1">
            <w:r w:rsidR="00BF4EEE" w:rsidRPr="00F93702">
              <w:rPr>
                <w:rStyle w:val="Lienhypertexte"/>
                <w:noProof/>
              </w:rPr>
              <w:t>5.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Respect du consentement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_Toc115796152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65B353F" w14:textId="2A2C8B3B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3" w:history="1">
            <w:r w:rsidR="00BF4EEE" w:rsidRPr="00F93702">
              <w:rPr>
                <w:rStyle w:val="Lienhypertexte"/>
                <w:noProof/>
              </w:rPr>
              <w:t>6.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droits des patients/Droits de l’usager et du citoyen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_Toc115796153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4166177" w14:textId="5E38A637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4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Respect des libertés publiques :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_Toc115796154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29A5F92F" w14:textId="39AFA1D1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5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Plainte, contentieux et indemnisation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_Toc115796155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5F554994" w14:textId="1A85ADF5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6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la représentation des usagers du système de santé – niveau régional et national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_Toc115796156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5F493DF" w14:textId="6B599660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7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la représentation des usagers du système de santé au sein d’un établissement de santé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_Toc115796157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72D9BB6F" w14:textId="597688B5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8" w:history="1">
            <w:r w:rsidR="00BF4EEE" w:rsidRPr="00F93702">
              <w:rPr>
                <w:rStyle w:val="Lienhypertexte"/>
                <w:noProof/>
              </w:rPr>
              <w:t>7.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Commission des usagers - CDU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_Toc115796158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25F880F8" w14:textId="21626705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9" w:history="1">
            <w:r w:rsidR="00BF4EEE" w:rsidRPr="00F93702">
              <w:rPr>
                <w:rStyle w:val="Lienhypertexte"/>
                <w:noProof/>
              </w:rPr>
              <w:t>8.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parole des usagers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_Toc115796159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9787672" w14:textId="2700EAE4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0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réclamations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_Toc115796160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2D64D0C7" w14:textId="52FCFCF7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1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médiations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_Toc115796161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6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0FAA2236" w14:textId="5493C508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2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enquêtes de satisfaction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_Toc115796162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6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0CEF22C6" w14:textId="00D01692" w:rsidR="00BF4EEE" w:rsidRDefault="00A9457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3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Analyse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_Toc115796163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6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D15BF66" w14:textId="46C8FDCE" w:rsidR="00BF4EEE" w:rsidRDefault="00A9457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4" w:history="1">
            <w:r w:rsidR="00BF4EEE" w:rsidRPr="00F93702">
              <w:rPr>
                <w:rStyle w:val="Lienhypertexte"/>
                <w:noProof/>
              </w:rPr>
              <w:t>9.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Pour aller plus loin…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_Toc115796164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7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FC7FA69" w14:textId="565C921B" w:rsidR="009256AD" w:rsidRDefault="00995715" w:rsidP="009256AD">
          <w:r>
            <w:rPr>
              <w:b/>
              <w:bCs/>
            </w:rPr>
            <w:fldChar w:fldCharType="end"/>
          </w:r>
        </w:p>
      </w:sdtContent>
    </w:sdt>
    <w:p w14:paraId="345B4C45" w14:textId="0F689D31" w:rsidR="00053B72" w:rsidRDefault="00B343C8" w:rsidP="007170F0">
      <w:pPr>
        <w:pStyle w:val="Titre1"/>
        <w:numPr>
          <w:ilvl w:val="0"/>
          <w:numId w:val="18"/>
        </w:numPr>
      </w:pPr>
      <w:bookmarkStart w:id="0" w:name="_Toc115796143"/>
      <w:r w:rsidRPr="00053B72">
        <w:lastRenderedPageBreak/>
        <w:t>La Maison des usagers et des</w:t>
      </w:r>
      <w:r w:rsidR="00053B72">
        <w:t xml:space="preserve"> </w:t>
      </w:r>
      <w:r w:rsidRPr="00053B72">
        <w:t>associations - MDUA</w:t>
      </w:r>
      <w:bookmarkEnd w:id="0"/>
    </w:p>
    <w:p w14:paraId="3D381AC1" w14:textId="61B33DEB" w:rsidR="00B343C8" w:rsidRPr="00053B72" w:rsidRDefault="00B343C8" w:rsidP="00053B72">
      <w:r w:rsidRPr="00053B72">
        <w:t>Les Maisons Des Usagers et des Associations, autrement dit les MDUA, permettent de</w:t>
      </w:r>
      <w:r w:rsidR="00053B72">
        <w:t xml:space="preserve"> </w:t>
      </w:r>
      <w:r w:rsidRPr="00053B72">
        <w:t>concrétiser la notion de démocratie sanitaire.</w:t>
      </w:r>
    </w:p>
    <w:p w14:paraId="0BAFC1C9" w14:textId="4E211EC2" w:rsidR="00B343C8" w:rsidRPr="00053B72" w:rsidRDefault="00B343C8" w:rsidP="00053B72">
      <w:r w:rsidRPr="00053B72">
        <w:t>La démocratie sanitaire en établissement de santé vise à associer l'ensemble des acteurs</w:t>
      </w:r>
      <w:r w:rsidR="00053B72">
        <w:t xml:space="preserve"> </w:t>
      </w:r>
      <w:r w:rsidRPr="00053B72">
        <w:t>de santé, et notamment les usagers, à ses projets.</w:t>
      </w:r>
    </w:p>
    <w:p w14:paraId="2C4CF209" w14:textId="25B25A88" w:rsidR="00A657EE" w:rsidRPr="00A657EE" w:rsidRDefault="00B343C8" w:rsidP="00053B72">
      <w:r w:rsidRPr="00053B72">
        <w:t>Les</w:t>
      </w:r>
      <w:r w:rsidR="00A657EE">
        <w:t xml:space="preserve"> </w:t>
      </w:r>
      <w:r w:rsidR="00A657EE" w:rsidRPr="00053B72">
        <w:t>Maisons Des Usagers et des Associations</w:t>
      </w:r>
      <w:r w:rsidRPr="00053B72">
        <w:t xml:space="preserve"> favorisent l’implication réelle des usagers en partenariat avec les professionnels</w:t>
      </w:r>
      <w:r w:rsidR="00053B72">
        <w:t xml:space="preserve"> </w:t>
      </w:r>
      <w:r w:rsidRPr="00053B72">
        <w:t>de</w:t>
      </w:r>
      <w:r w:rsidR="00053B72">
        <w:t xml:space="preserve"> </w:t>
      </w:r>
      <w:r w:rsidRPr="00053B72">
        <w:t>santé.</w:t>
      </w:r>
    </w:p>
    <w:p w14:paraId="21AC7457" w14:textId="4FEF4F82" w:rsidR="00A657EE" w:rsidRPr="00A657EE" w:rsidRDefault="00A657EE" w:rsidP="00A657EE">
      <w:r w:rsidRPr="00A657EE">
        <w:t>Les caractéri</w:t>
      </w:r>
      <w:r>
        <w:t>sti</w:t>
      </w:r>
      <w:r w:rsidRPr="00A657EE">
        <w:t>ques des Maisons</w:t>
      </w:r>
      <w:r w:rsidRPr="00053B72">
        <w:t xml:space="preserve"> Des Usagers et des Associations</w:t>
      </w:r>
      <w:r>
        <w:t xml:space="preserve"> sont listées ci-dessous :</w:t>
      </w:r>
    </w:p>
    <w:p w14:paraId="76F07A7E" w14:textId="7EC68AFF" w:rsidR="00B343C8" w:rsidRPr="00A657EE" w:rsidRDefault="00A657EE" w:rsidP="00A657EE">
      <w:r>
        <w:t>-</w:t>
      </w:r>
      <w:r w:rsidR="00B343C8" w:rsidRPr="00A657EE">
        <w:t>Un lieu d’information sur les pathologies et sur les associations</w:t>
      </w:r>
    </w:p>
    <w:p w14:paraId="2EC3C57C" w14:textId="21CF4DC0" w:rsidR="00A657EE" w:rsidRPr="00A657EE" w:rsidRDefault="00A657EE" w:rsidP="00A657EE">
      <w:r>
        <w:t>-</w:t>
      </w:r>
      <w:r w:rsidR="00B343C8" w:rsidRPr="00A657EE">
        <w:t>Un lieu d’écoute et d’échange</w:t>
      </w:r>
    </w:p>
    <w:p w14:paraId="7FA74AD8" w14:textId="32E09B2C" w:rsidR="00A657EE" w:rsidRDefault="00A657EE" w:rsidP="00A657EE">
      <w:r>
        <w:t>-</w:t>
      </w:r>
      <w:r w:rsidR="00B343C8" w:rsidRPr="00A657EE">
        <w:t>Un lieu au service des usagers et projets portés par les patients, à disposition des patients</w:t>
      </w:r>
      <w:r>
        <w:t xml:space="preserve"> </w:t>
      </w:r>
      <w:r w:rsidR="00B343C8" w:rsidRPr="00A657EE">
        <w:t>partenaires</w:t>
      </w:r>
      <w:r w:rsidR="00507353">
        <w:t>.</w:t>
      </w:r>
    </w:p>
    <w:p w14:paraId="206D16CB" w14:textId="1CE6088D" w:rsidR="00B343C8" w:rsidRPr="00A657EE" w:rsidRDefault="00A657EE" w:rsidP="00A657EE">
      <w:r>
        <w:t>Les a</w:t>
      </w:r>
      <w:r w:rsidR="00B343C8" w:rsidRPr="00A657EE">
        <w:t>cteurs</w:t>
      </w:r>
      <w:r>
        <w:t xml:space="preserve"> sont les suivants :</w:t>
      </w:r>
    </w:p>
    <w:p w14:paraId="6A2B5F45" w14:textId="5385F8DF" w:rsidR="00B343C8" w:rsidRPr="00A657EE" w:rsidRDefault="00795142" w:rsidP="00795142">
      <w:r>
        <w:t>-</w:t>
      </w:r>
      <w:r w:rsidR="00B343C8" w:rsidRPr="00A657EE">
        <w:t>Les usagers</w:t>
      </w:r>
      <w:r>
        <w:t>, les</w:t>
      </w:r>
      <w:r w:rsidR="00B343C8" w:rsidRPr="00A657EE">
        <w:t xml:space="preserve"> patients</w:t>
      </w:r>
      <w:r>
        <w:t>, l</w:t>
      </w:r>
      <w:r w:rsidR="00B343C8" w:rsidRPr="00A657EE">
        <w:t>eur entourage</w:t>
      </w:r>
      <w:r>
        <w:t>, l</w:t>
      </w:r>
      <w:r w:rsidR="00B343C8" w:rsidRPr="00A657EE">
        <w:t>es représentants des usagers (adhérents d’une association reconnue par</w:t>
      </w:r>
      <w:r>
        <w:t xml:space="preserve"> l’agence régionale de santé</w:t>
      </w:r>
      <w:r w:rsidR="00B343C8" w:rsidRPr="00A657EE">
        <w:t xml:space="preserve"> </w:t>
      </w:r>
      <w:r>
        <w:t>(</w:t>
      </w:r>
      <w:r w:rsidR="00B343C8" w:rsidRPr="00A657EE">
        <w:t>ARS</w:t>
      </w:r>
      <w:r>
        <w:t>), l</w:t>
      </w:r>
      <w:r w:rsidR="00B343C8" w:rsidRPr="00A657EE">
        <w:t>es patients</w:t>
      </w:r>
      <w:r>
        <w:t xml:space="preserve"> </w:t>
      </w:r>
      <w:r w:rsidR="00B343C8" w:rsidRPr="00A657EE">
        <w:t>partenaires</w:t>
      </w:r>
    </w:p>
    <w:p w14:paraId="1CF2BAF3" w14:textId="2901068A" w:rsidR="00B343C8" w:rsidRPr="00A657EE" w:rsidRDefault="00795142" w:rsidP="00795142">
      <w:r>
        <w:t>-</w:t>
      </w:r>
      <w:r w:rsidR="00B343C8" w:rsidRPr="00A657EE">
        <w:t>Les associations</w:t>
      </w:r>
    </w:p>
    <w:p w14:paraId="26FAD0CC" w14:textId="4CA7BDD4" w:rsidR="00B343C8" w:rsidRPr="00A657EE" w:rsidRDefault="00795142" w:rsidP="00795142">
      <w:r>
        <w:t>-</w:t>
      </w:r>
      <w:r w:rsidR="00B343C8" w:rsidRPr="00A657EE">
        <w:t>La Chargée des Relations avec les Usagers et les Associations (CRUA)</w:t>
      </w:r>
    </w:p>
    <w:p w14:paraId="7F28F7C0" w14:textId="761BDB20" w:rsidR="00B343C8" w:rsidRPr="00A657EE" w:rsidRDefault="00795142" w:rsidP="00795142">
      <w:r>
        <w:t>-</w:t>
      </w:r>
      <w:r w:rsidR="00B343C8" w:rsidRPr="00A657EE">
        <w:t>Les professionnels de santé, notamment les pilotes et référents de la thématique Droits des</w:t>
      </w:r>
    </w:p>
    <w:p w14:paraId="3E05F441" w14:textId="51B7A69D" w:rsidR="00B343C8" w:rsidRPr="00A657EE" w:rsidRDefault="00B343C8" w:rsidP="00795142">
      <w:r w:rsidRPr="00A657EE">
        <w:t>Patients</w:t>
      </w:r>
    </w:p>
    <w:p w14:paraId="66101466" w14:textId="6DADB7FB" w:rsidR="00B343C8" w:rsidRDefault="00B343C8" w:rsidP="007170F0">
      <w:pPr>
        <w:pStyle w:val="Titre1"/>
        <w:numPr>
          <w:ilvl w:val="0"/>
          <w:numId w:val="18"/>
        </w:numPr>
      </w:pPr>
      <w:bookmarkStart w:id="1" w:name="_Toc115796144"/>
      <w:r w:rsidRPr="00795142">
        <w:t>La MDUA au sein des 15-20</w:t>
      </w:r>
      <w:bookmarkEnd w:id="1"/>
    </w:p>
    <w:p w14:paraId="128BC630" w14:textId="0F116109" w:rsidR="00B343C8" w:rsidRPr="00507353" w:rsidRDefault="00B343C8" w:rsidP="00AA78DD">
      <w:r w:rsidRPr="00507353">
        <w:t xml:space="preserve">La </w:t>
      </w:r>
      <w:r w:rsidR="00507353" w:rsidRPr="00053B72">
        <w:t>Maisons Des Usagers et des Associations</w:t>
      </w:r>
      <w:r w:rsidRPr="00507353">
        <w:t xml:space="preserve"> se situe au 24 rue de Charenton, à côté de l’entrée de l’hôpital, il est directement</w:t>
      </w:r>
      <w:r w:rsidR="00507353">
        <w:t xml:space="preserve"> </w:t>
      </w:r>
      <w:r w:rsidRPr="00507353">
        <w:t>accessible depuis la rue et est ouvert sur l’extérieur avec la présence de baies vitrées.</w:t>
      </w:r>
    </w:p>
    <w:p w14:paraId="634788FC" w14:textId="6E8756A2" w:rsidR="00B343C8" w:rsidRDefault="00B343C8" w:rsidP="00AA78DD">
      <w:r w:rsidRPr="00507353">
        <w:t xml:space="preserve">Mais le projet </w:t>
      </w:r>
      <w:r w:rsidR="00507353" w:rsidRPr="00053B72">
        <w:t>Maisons Des Usagers et des Associations</w:t>
      </w:r>
      <w:r w:rsidRPr="00507353">
        <w:t xml:space="preserve"> va bien au-delà de ce lieu. Des</w:t>
      </w:r>
      <w:r w:rsidR="00507353">
        <w:t xml:space="preserve"> </w:t>
      </w:r>
      <w:r w:rsidRPr="00507353">
        <w:t xml:space="preserve">projets seront </w:t>
      </w:r>
      <w:r w:rsidR="00507353" w:rsidRPr="00507353">
        <w:t>coconstruits</w:t>
      </w:r>
      <w:r w:rsidRPr="00507353">
        <w:t xml:space="preserve"> avec les</w:t>
      </w:r>
      <w:r w:rsidR="00507353">
        <w:t xml:space="preserve"> </w:t>
      </w:r>
      <w:r w:rsidRPr="00507353">
        <w:t>usagers et notamment avec les patients partenaires, les associations et les services de soins.</w:t>
      </w:r>
    </w:p>
    <w:p w14:paraId="4A5F126C" w14:textId="77777777" w:rsidR="00B343C8" w:rsidRPr="00AA78DD" w:rsidRDefault="00B343C8" w:rsidP="00AA78DD">
      <w:r w:rsidRPr="00AA78DD">
        <w:t>Exemples de projets :</w:t>
      </w:r>
    </w:p>
    <w:p w14:paraId="3C52A222" w14:textId="77777777" w:rsidR="00B343C8" w:rsidRPr="00AA78DD" w:rsidRDefault="00B343C8" w:rsidP="00AA78DD">
      <w:r w:rsidRPr="00AA78DD">
        <w:t>- permanences d’associations au sein de l’établissement,</w:t>
      </w:r>
    </w:p>
    <w:p w14:paraId="4922D794" w14:textId="77777777" w:rsidR="00B343C8" w:rsidRPr="00AA78DD" w:rsidRDefault="00B343C8" w:rsidP="00AA78DD">
      <w:r w:rsidRPr="00AA78DD">
        <w:t>- groupes de parole,</w:t>
      </w:r>
    </w:p>
    <w:p w14:paraId="58B531D0" w14:textId="77777777" w:rsidR="00B343C8" w:rsidRPr="00AA78DD" w:rsidRDefault="00B343C8" w:rsidP="00AA78DD">
      <w:r w:rsidRPr="00AA78DD">
        <w:t>- organisation de journées à thème,</w:t>
      </w:r>
    </w:p>
    <w:p w14:paraId="7C0499C9" w14:textId="633159FD" w:rsidR="00B343C8" w:rsidRPr="00AA78DD" w:rsidRDefault="00B343C8" w:rsidP="00B343C8">
      <w:r w:rsidRPr="00AA78DD">
        <w:t xml:space="preserve">- groupe de travail thématique (amélioration du parcours </w:t>
      </w:r>
      <w:r w:rsidR="007170F0" w:rsidRPr="00AA78DD">
        <w:t>patient) …</w:t>
      </w:r>
    </w:p>
    <w:p w14:paraId="1D618473" w14:textId="77777777" w:rsidR="003928BD" w:rsidRDefault="003928BD" w:rsidP="007170F0">
      <w:pPr>
        <w:pStyle w:val="Titre1"/>
        <w:numPr>
          <w:ilvl w:val="0"/>
          <w:numId w:val="18"/>
        </w:numPr>
      </w:pPr>
      <w:bookmarkStart w:id="2" w:name="_Toc115796145"/>
      <w:r>
        <w:t>Les associations</w:t>
      </w:r>
      <w:bookmarkEnd w:id="2"/>
    </w:p>
    <w:p w14:paraId="1BEE5177" w14:textId="60D61CB4" w:rsidR="003928BD" w:rsidRPr="007170F0" w:rsidRDefault="003928BD" w:rsidP="007170F0">
      <w:r w:rsidRPr="007170F0">
        <w:t>Un recensement des associations en lien avec la déficience visuelle et le handicap a été</w:t>
      </w:r>
      <w:r w:rsidR="007170F0">
        <w:t xml:space="preserve"> </w:t>
      </w:r>
      <w:r w:rsidRPr="007170F0">
        <w:t>initié. Des liens se créent, les associations envoient de la documentation et envisagent des</w:t>
      </w:r>
      <w:r w:rsidR="007170F0">
        <w:t xml:space="preserve"> </w:t>
      </w:r>
      <w:r w:rsidRPr="007170F0">
        <w:t xml:space="preserve">partenariats avec les </w:t>
      </w:r>
      <w:r w:rsidR="007170F0">
        <w:t xml:space="preserve">quinze </w:t>
      </w:r>
      <w:proofErr w:type="spellStart"/>
      <w:r w:rsidR="00995715">
        <w:t>vingts</w:t>
      </w:r>
      <w:proofErr w:type="spellEnd"/>
      <w:r w:rsidRPr="007170F0">
        <w:t>.</w:t>
      </w:r>
    </w:p>
    <w:p w14:paraId="20B809CA" w14:textId="77777777" w:rsidR="003928BD" w:rsidRPr="007170F0" w:rsidRDefault="003928BD" w:rsidP="007170F0">
      <w:r w:rsidRPr="007170F0">
        <w:t>Ces associations ont plusieurs missions :</w:t>
      </w:r>
    </w:p>
    <w:p w14:paraId="4F5C4FC4" w14:textId="77777777" w:rsidR="003928BD" w:rsidRPr="007170F0" w:rsidRDefault="003928BD" w:rsidP="007170F0">
      <w:r w:rsidRPr="007170F0">
        <w:t>- l’accompagnement des patients et de leur famille</w:t>
      </w:r>
    </w:p>
    <w:p w14:paraId="236CF3B0" w14:textId="77777777" w:rsidR="003928BD" w:rsidRPr="007170F0" w:rsidRDefault="003928BD" w:rsidP="007170F0">
      <w:r w:rsidRPr="007170F0">
        <w:t>- l’animation et les loisirs</w:t>
      </w:r>
    </w:p>
    <w:p w14:paraId="25CD667B" w14:textId="77777777" w:rsidR="003928BD" w:rsidRPr="007170F0" w:rsidRDefault="003928BD" w:rsidP="007170F0">
      <w:r w:rsidRPr="007170F0">
        <w:t>- le soutien à la recherche</w:t>
      </w:r>
    </w:p>
    <w:p w14:paraId="53E1315B" w14:textId="77777777" w:rsidR="003928BD" w:rsidRPr="007170F0" w:rsidRDefault="003928BD" w:rsidP="007170F0">
      <w:r w:rsidRPr="007170F0">
        <w:t>- le soutien face à la maladie</w:t>
      </w:r>
    </w:p>
    <w:p w14:paraId="012F6480" w14:textId="77777777" w:rsidR="003928BD" w:rsidRPr="007170F0" w:rsidRDefault="003928BD" w:rsidP="007170F0">
      <w:r w:rsidRPr="007170F0">
        <w:t>- l’information sur les droits des patients</w:t>
      </w:r>
    </w:p>
    <w:p w14:paraId="122F4052" w14:textId="77777777" w:rsidR="003928BD" w:rsidRPr="007170F0" w:rsidRDefault="003928BD" w:rsidP="007170F0">
      <w:r w:rsidRPr="007170F0">
        <w:t>- la veille juridique</w:t>
      </w:r>
    </w:p>
    <w:p w14:paraId="755A4D9A" w14:textId="65A66A9F" w:rsidR="003928BD" w:rsidRPr="007170F0" w:rsidRDefault="003928BD" w:rsidP="007170F0">
      <w:r w:rsidRPr="007170F0">
        <w:t>-</w:t>
      </w:r>
      <w:r w:rsidR="007170F0">
        <w:t xml:space="preserve"> </w:t>
      </w:r>
      <w:r w:rsidR="00466D72">
        <w:t>etc.</w:t>
      </w:r>
    </w:p>
    <w:p w14:paraId="5624C782" w14:textId="407F9E4F" w:rsidR="00122D17" w:rsidRPr="007170F0" w:rsidRDefault="00122D17" w:rsidP="007170F0">
      <w:pPr>
        <w:pStyle w:val="Titre1"/>
        <w:numPr>
          <w:ilvl w:val="0"/>
          <w:numId w:val="18"/>
        </w:numPr>
      </w:pPr>
      <w:bookmarkStart w:id="3" w:name="_Toc115796146"/>
      <w:r w:rsidRPr="007170F0">
        <w:lastRenderedPageBreak/>
        <w:t>Les associations partenaires</w:t>
      </w:r>
      <w:r w:rsidR="007170F0">
        <w:t xml:space="preserve"> en date du 15 aout 2022</w:t>
      </w:r>
      <w:bookmarkEnd w:id="3"/>
    </w:p>
    <w:p w14:paraId="5C06B6C4" w14:textId="77777777" w:rsidR="00122D17" w:rsidRPr="007170F0" w:rsidRDefault="00122D17" w:rsidP="00660BB1">
      <w:r w:rsidRPr="007170F0">
        <w:t xml:space="preserve">- </w:t>
      </w:r>
      <w:proofErr w:type="spellStart"/>
      <w:r w:rsidRPr="007170F0">
        <w:t>Accessijeux</w:t>
      </w:r>
      <w:proofErr w:type="spellEnd"/>
    </w:p>
    <w:p w14:paraId="089E76AA" w14:textId="77777777" w:rsidR="00122D17" w:rsidRPr="007170F0" w:rsidRDefault="00122D17" w:rsidP="00660BB1">
      <w:r w:rsidRPr="007170F0">
        <w:t>- Association France Glaucome</w:t>
      </w:r>
    </w:p>
    <w:p w14:paraId="423B1C18" w14:textId="71FD875A" w:rsidR="00122D17" w:rsidRPr="007170F0" w:rsidRDefault="00122D17" w:rsidP="00660BB1">
      <w:r w:rsidRPr="007170F0">
        <w:t>- Association</w:t>
      </w:r>
      <w:r w:rsidR="007170F0">
        <w:t xml:space="preserve"> occlusion veine rétine (</w:t>
      </w:r>
      <w:r w:rsidRPr="007170F0">
        <w:t>OVR</w:t>
      </w:r>
      <w:r w:rsidR="007170F0">
        <w:t>)</w:t>
      </w:r>
    </w:p>
    <w:p w14:paraId="70B1915E" w14:textId="77777777" w:rsidR="00122D17" w:rsidRPr="007170F0" w:rsidRDefault="00122D17" w:rsidP="00660BB1">
      <w:r w:rsidRPr="007170F0">
        <w:t>- Fédération des aveugles et handicapés visuels de France</w:t>
      </w:r>
    </w:p>
    <w:p w14:paraId="6722BC61" w14:textId="77777777" w:rsidR="00122D17" w:rsidRPr="007170F0" w:rsidRDefault="00122D17" w:rsidP="00660BB1">
      <w:r w:rsidRPr="007170F0">
        <w:t xml:space="preserve">- </w:t>
      </w:r>
      <w:proofErr w:type="spellStart"/>
      <w:r w:rsidRPr="007170F0">
        <w:t>Inflam’OEil</w:t>
      </w:r>
      <w:proofErr w:type="spellEnd"/>
    </w:p>
    <w:p w14:paraId="3AA1D18C" w14:textId="77777777" w:rsidR="00122D17" w:rsidRPr="007170F0" w:rsidRDefault="00122D17" w:rsidP="00660BB1">
      <w:r w:rsidRPr="007170F0">
        <w:t>- Les auxiliaires des aveugles</w:t>
      </w:r>
    </w:p>
    <w:p w14:paraId="6CF0A872" w14:textId="77777777" w:rsidR="00122D17" w:rsidRPr="007170F0" w:rsidRDefault="00122D17" w:rsidP="00660BB1">
      <w:r w:rsidRPr="007170F0">
        <w:t>- Les doigts qui rêvent</w:t>
      </w:r>
    </w:p>
    <w:p w14:paraId="677B0D48" w14:textId="77777777" w:rsidR="00122D17" w:rsidRPr="007170F0" w:rsidRDefault="00122D17" w:rsidP="00660BB1">
      <w:r w:rsidRPr="007170F0">
        <w:t>- Les Mirauds Volants</w:t>
      </w:r>
    </w:p>
    <w:p w14:paraId="76B96456" w14:textId="77777777" w:rsidR="00122D17" w:rsidRPr="007170F0" w:rsidRDefault="00122D17" w:rsidP="00660BB1">
      <w:r w:rsidRPr="007170F0">
        <w:t xml:space="preserve">- </w:t>
      </w:r>
      <w:proofErr w:type="spellStart"/>
      <w:r w:rsidRPr="007170F0">
        <w:t>Rétina</w:t>
      </w:r>
      <w:proofErr w:type="spellEnd"/>
      <w:r w:rsidRPr="007170F0">
        <w:t xml:space="preserve"> France</w:t>
      </w:r>
    </w:p>
    <w:p w14:paraId="414B27A3" w14:textId="77777777" w:rsidR="00122D17" w:rsidRPr="007170F0" w:rsidRDefault="00122D17" w:rsidP="00660BB1">
      <w:r w:rsidRPr="007170F0">
        <w:t>- Union Des Aveugles Et Déficients Visuels (UNADEV)</w:t>
      </w:r>
    </w:p>
    <w:p w14:paraId="33064632" w14:textId="1EABD5C9" w:rsidR="00122D17" w:rsidRPr="007170F0" w:rsidRDefault="00122D17" w:rsidP="00122D17">
      <w:r w:rsidRPr="007170F0">
        <w:t>- Valentin Haüy</w:t>
      </w:r>
    </w:p>
    <w:p w14:paraId="29F81F78" w14:textId="5E99DEF9" w:rsidR="00122D17" w:rsidRDefault="00122D17" w:rsidP="00660BB1">
      <w:pPr>
        <w:pStyle w:val="Titre1"/>
        <w:numPr>
          <w:ilvl w:val="0"/>
          <w:numId w:val="18"/>
        </w:numPr>
      </w:pPr>
      <w:bookmarkStart w:id="4" w:name="_Toc115796147"/>
      <w:r>
        <w:t>Les droits des patients</w:t>
      </w:r>
      <w:r w:rsidR="00104715">
        <w:t>/ droits des personnes</w:t>
      </w:r>
      <w:bookmarkEnd w:id="4"/>
    </w:p>
    <w:p w14:paraId="2EDC0195" w14:textId="183A381A" w:rsidR="00122D17" w:rsidRDefault="00660BB1" w:rsidP="00660BB1">
      <w:r>
        <w:t xml:space="preserve">Les </w:t>
      </w:r>
      <w:r w:rsidR="00122D17">
        <w:t>Droits de la personne</w:t>
      </w:r>
      <w:r>
        <w:t xml:space="preserve"> sont décrits en cinq points ci-dessous :</w:t>
      </w:r>
    </w:p>
    <w:p w14:paraId="0F3F1A34" w14:textId="14183339" w:rsidR="00D93059" w:rsidRDefault="00D93059" w:rsidP="00A8323E">
      <w:pPr>
        <w:pStyle w:val="Titre2"/>
      </w:pPr>
      <w:bookmarkStart w:id="5" w:name="_Toc115796148"/>
      <w:r>
        <w:t>L</w:t>
      </w:r>
      <w:r w:rsidR="00660BB1">
        <w:t>e r</w:t>
      </w:r>
      <w:r w:rsidR="00122D17" w:rsidRPr="00660BB1">
        <w:t>espect de la dignité de la personne humaine</w:t>
      </w:r>
      <w:bookmarkEnd w:id="5"/>
      <w:r w:rsidR="00660BB1">
        <w:t xml:space="preserve"> </w:t>
      </w:r>
    </w:p>
    <w:p w14:paraId="3968A93B" w14:textId="73EF967D" w:rsidR="00660BB1" w:rsidRDefault="00D93059" w:rsidP="00660BB1">
      <w:r>
        <w:t xml:space="preserve">Il </w:t>
      </w:r>
      <w:r w:rsidR="00660BB1">
        <w:t>s</w:t>
      </w:r>
      <w:r w:rsidR="00122D17" w:rsidRPr="00660BB1">
        <w:t>e défini par un ensemble de principes : « la primauté de la personne humaine, le respect de</w:t>
      </w:r>
      <w:r w:rsidR="00660BB1">
        <w:t xml:space="preserve"> </w:t>
      </w:r>
      <w:r w:rsidR="00122D17" w:rsidRPr="00660BB1">
        <w:t>l'être humain dès le commencement de sa</w:t>
      </w:r>
      <w:r w:rsidR="00660BB1">
        <w:t xml:space="preserve"> </w:t>
      </w:r>
      <w:r w:rsidR="00122D17" w:rsidRPr="00660BB1">
        <w:t>vie, l'inviolabilité, l'intégrité et l'absence de caractère</w:t>
      </w:r>
      <w:r w:rsidR="00660BB1">
        <w:t xml:space="preserve"> </w:t>
      </w:r>
      <w:r w:rsidR="00122D17" w:rsidRPr="00660BB1">
        <w:t>patrimonial du corps humain ainsi que l'intégrité de l'espèce humaine » (Conseil constitutionnel,</w:t>
      </w:r>
      <w:r w:rsidR="00660BB1">
        <w:t xml:space="preserve"> </w:t>
      </w:r>
      <w:r w:rsidR="00122D17" w:rsidRPr="00660BB1">
        <w:t>Décision n° 94-343/344 DC du 27 juillet 1994).</w:t>
      </w:r>
    </w:p>
    <w:p w14:paraId="7B962CD1" w14:textId="4511EDEE" w:rsidR="00D93059" w:rsidRDefault="00122D17" w:rsidP="00A8323E">
      <w:pPr>
        <w:pStyle w:val="Titre2"/>
      </w:pPr>
      <w:bookmarkStart w:id="6" w:name="_Toc115796149"/>
      <w:r w:rsidRPr="00D93059">
        <w:t>Droit à l’accès aux soins et au choix du médecin</w:t>
      </w:r>
      <w:r w:rsidR="00660BB1">
        <w:t>.</w:t>
      </w:r>
      <w:bookmarkEnd w:id="6"/>
      <w:r w:rsidR="00660BB1">
        <w:t xml:space="preserve"> </w:t>
      </w:r>
    </w:p>
    <w:p w14:paraId="56DC4E30" w14:textId="496D27A1" w:rsidR="00660BB1" w:rsidRDefault="00122D17" w:rsidP="00660BB1">
      <w:r w:rsidRPr="00660BB1">
        <w:t>Le patient peut choisir son médecin ou l’établissement de santé et bénéficie du droit à la</w:t>
      </w:r>
      <w:r w:rsidR="00660BB1">
        <w:t xml:space="preserve"> </w:t>
      </w:r>
      <w:r w:rsidRPr="00660BB1">
        <w:t>continuité des soins.</w:t>
      </w:r>
    </w:p>
    <w:p w14:paraId="49743D0B" w14:textId="64845DDE" w:rsidR="00D93059" w:rsidRDefault="00122D17" w:rsidP="00A8323E">
      <w:pPr>
        <w:pStyle w:val="Titre2"/>
      </w:pPr>
      <w:bookmarkStart w:id="7" w:name="_Toc115796150"/>
      <w:r w:rsidRPr="00995715">
        <w:t xml:space="preserve">Droit à la </w:t>
      </w:r>
      <w:r w:rsidR="00660BB1" w:rsidRPr="00660BB1">
        <w:t>non-discrimination</w:t>
      </w:r>
      <w:bookmarkEnd w:id="7"/>
      <w:r w:rsidR="00660BB1">
        <w:t xml:space="preserve"> </w:t>
      </w:r>
    </w:p>
    <w:p w14:paraId="4D557BEB" w14:textId="4B424C41" w:rsidR="00660BB1" w:rsidRPr="00660BB1" w:rsidRDefault="00122D17" w:rsidP="00660BB1">
      <w:r w:rsidRPr="00660BB1">
        <w:t>« Aucune personne ne peut faire l'objet de discriminations dans l'accès à la prévention ou aux</w:t>
      </w:r>
      <w:r w:rsidR="00660BB1">
        <w:t xml:space="preserve"> </w:t>
      </w:r>
      <w:r w:rsidRPr="00660BB1">
        <w:t>soins. » (Article L.1110-3 du Code de la Santé Publique)</w:t>
      </w:r>
    </w:p>
    <w:p w14:paraId="03391AA1" w14:textId="77777777" w:rsidR="00104715" w:rsidRDefault="00122D17" w:rsidP="00104715">
      <w:pPr>
        <w:autoSpaceDE w:val="0"/>
        <w:autoSpaceDN w:val="0"/>
        <w:adjustRightInd w:val="0"/>
        <w:spacing w:line="240" w:lineRule="auto"/>
      </w:pPr>
      <w:r w:rsidRPr="00660BB1">
        <w:t>Par exemple, aucun professionnel de santé ne peut refuser de donner des soins pour un motif</w:t>
      </w:r>
      <w:r w:rsidR="00660BB1">
        <w:t xml:space="preserve"> </w:t>
      </w:r>
      <w:r w:rsidRPr="00660BB1">
        <w:t>tel que l’origine, le sexe, le handicap, l’orientation sexuelle, les opinions politiques, une</w:t>
      </w:r>
      <w:r w:rsidR="00660BB1">
        <w:t xml:space="preserve"> </w:t>
      </w:r>
      <w:r w:rsidRPr="00660BB1">
        <w:t>religion…</w:t>
      </w:r>
    </w:p>
    <w:p w14:paraId="69F1D95C" w14:textId="769FC77E" w:rsidR="00122D17" w:rsidRPr="00995715" w:rsidRDefault="00122D17" w:rsidP="00A8323E">
      <w:pPr>
        <w:pStyle w:val="Titre2"/>
      </w:pPr>
      <w:bookmarkStart w:id="8" w:name="_Toc115796151"/>
      <w:r w:rsidRPr="00995715">
        <w:t>Droit à l’information</w:t>
      </w:r>
      <w:bookmarkEnd w:id="8"/>
    </w:p>
    <w:p w14:paraId="7E2C89CB" w14:textId="77777777" w:rsidR="00122D17" w:rsidRPr="00660BB1" w:rsidRDefault="00122D17" w:rsidP="00660BB1">
      <w:r w:rsidRPr="00660BB1">
        <w:t>L’information est un préalable au recueil du consentement libre et éclairé.</w:t>
      </w:r>
    </w:p>
    <w:p w14:paraId="6AB4E6E1" w14:textId="210CEFC8" w:rsidR="00122D17" w:rsidRPr="00660BB1" w:rsidRDefault="00122D17" w:rsidP="00660BB1">
      <w:r w:rsidRPr="00660BB1">
        <w:t>Il s’agit d’informations sur son état de santé, sur les différentes investigations, traitements ou</w:t>
      </w:r>
      <w:r w:rsidR="00104715">
        <w:t xml:space="preserve"> </w:t>
      </w:r>
      <w:r w:rsidRPr="00660BB1">
        <w:t xml:space="preserve">actions de </w:t>
      </w:r>
      <w:r w:rsidR="00104715" w:rsidRPr="00660BB1">
        <w:t>prévention proposée</w:t>
      </w:r>
      <w:r w:rsidRPr="00660BB1">
        <w:t>, leur utilité, leur urgence éventuelle, leurs conséquences, les</w:t>
      </w:r>
      <w:r w:rsidR="00104715">
        <w:t xml:space="preserve"> </w:t>
      </w:r>
      <w:r w:rsidRPr="00660BB1">
        <w:t>risques fréquents ou graves normalement prévisibles qu'ils comportent ainsi que sur les autres</w:t>
      </w:r>
      <w:r w:rsidR="00104715">
        <w:t xml:space="preserve"> </w:t>
      </w:r>
      <w:r w:rsidRPr="00660BB1">
        <w:t>solutions possibles et sur les conséquences prévisibles en cas de refus.</w:t>
      </w:r>
    </w:p>
    <w:p w14:paraId="47CF7A3C" w14:textId="78AE2210" w:rsidR="00122D17" w:rsidRPr="00660BB1" w:rsidRDefault="00122D17" w:rsidP="00660BB1">
      <w:r w:rsidRPr="00660BB1">
        <w:t>L’information doit être claire, loyale et appropriée, elle doit être délivrée au cours d’un</w:t>
      </w:r>
      <w:r w:rsidR="00104715">
        <w:t xml:space="preserve"> </w:t>
      </w:r>
      <w:r w:rsidRPr="00660BB1">
        <w:t>entretien avec le patient afin de permettre à ce dernier de comprendre ce qui lui est proposé</w:t>
      </w:r>
      <w:r w:rsidR="00104715">
        <w:t xml:space="preserve"> </w:t>
      </w:r>
      <w:r w:rsidRPr="00660BB1">
        <w:t>et de poser les questions légitimes que le traitement entraîne.</w:t>
      </w:r>
    </w:p>
    <w:p w14:paraId="7D911ACC" w14:textId="11E6B0A1" w:rsidR="00122D17" w:rsidRPr="00660BB1" w:rsidRDefault="00104715" w:rsidP="00660BB1">
      <w:r>
        <w:t>Il y a des e</w:t>
      </w:r>
      <w:r w:rsidR="00122D17" w:rsidRPr="00660BB1">
        <w:t>xceptions :</w:t>
      </w:r>
    </w:p>
    <w:p w14:paraId="42BDFD7E" w14:textId="77777777" w:rsidR="00122D17" w:rsidRPr="00660BB1" w:rsidRDefault="00122D17" w:rsidP="00660BB1">
      <w:r w:rsidRPr="00660BB1">
        <w:t>• L’urgence vitale</w:t>
      </w:r>
    </w:p>
    <w:p w14:paraId="286B1E8C" w14:textId="635CBC9C" w:rsidR="00122D17" w:rsidRDefault="00122D17" w:rsidP="00122D17">
      <w:r w:rsidRPr="00660BB1">
        <w:t>• L’impossibilité d’informer : Refus du patient ou Facultés cognitives altérées (le médecin</w:t>
      </w:r>
      <w:r w:rsidR="00104715">
        <w:t xml:space="preserve"> </w:t>
      </w:r>
      <w:r w:rsidRPr="00660BB1">
        <w:t>peut contacter la personne de confiance)</w:t>
      </w:r>
    </w:p>
    <w:p w14:paraId="693EBC28" w14:textId="77777777" w:rsidR="00104715" w:rsidRDefault="00104715" w:rsidP="00122D17">
      <w:pPr>
        <w:autoSpaceDE w:val="0"/>
        <w:autoSpaceDN w:val="0"/>
        <w:adjustRightInd w:val="0"/>
        <w:spacing w:line="240" w:lineRule="auto"/>
      </w:pPr>
    </w:p>
    <w:p w14:paraId="26BBF3EA" w14:textId="1EAE6F4D" w:rsidR="00122D17" w:rsidRPr="00366E21" w:rsidRDefault="00122D17" w:rsidP="00A8323E">
      <w:pPr>
        <w:pStyle w:val="Titre2"/>
      </w:pPr>
      <w:bookmarkStart w:id="9" w:name="_Toc115796152"/>
      <w:r w:rsidRPr="00366E21">
        <w:lastRenderedPageBreak/>
        <w:t>Respect du consentement</w:t>
      </w:r>
      <w:bookmarkEnd w:id="9"/>
    </w:p>
    <w:p w14:paraId="2F302EF6" w14:textId="6DA4A22C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Le consentement aux soins s’entend comme la liberté de consentir à un acte et celle de refuser</w:t>
      </w:r>
      <w:r w:rsidR="00104715">
        <w:t xml:space="preserve"> </w:t>
      </w:r>
      <w:r w:rsidRPr="00104715">
        <w:t>d’y consentir. Toute personne a le droit de refuser un traitement et qu’aucun acte médical ou</w:t>
      </w:r>
      <w:r w:rsidR="00104715">
        <w:t xml:space="preserve"> </w:t>
      </w:r>
      <w:r w:rsidRPr="00104715">
        <w:t>un traitement. Le consentement peut être retiré à tout moment.</w:t>
      </w:r>
      <w:r w:rsidR="00104715">
        <w:t xml:space="preserve"> </w:t>
      </w:r>
      <w:r w:rsidRPr="00104715">
        <w:t>« Le médecin a l'obligation de respecter la volonté de la personne après l'avoir informée des</w:t>
      </w:r>
      <w:r w:rsidR="00104715">
        <w:t xml:space="preserve"> </w:t>
      </w:r>
      <w:r w:rsidRPr="00104715">
        <w:t>conséquences de ses choix et de leur gravité. » (Article L.1111-4 alinéa 2 du Code de la Santé Publique).</w:t>
      </w:r>
    </w:p>
    <w:p w14:paraId="4A5B26FE" w14:textId="557ABCFB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Dans cette démarche, le soignant s’efforce de recueillir l’adhésion du patient à son projet de</w:t>
      </w:r>
      <w:r w:rsidR="00104715">
        <w:t xml:space="preserve"> </w:t>
      </w:r>
      <w:r w:rsidRPr="00104715">
        <w:t>soins, qu’il construit avec lui.</w:t>
      </w:r>
    </w:p>
    <w:p w14:paraId="03EBA419" w14:textId="477229B4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Seule l’existence d’un délai raisonnable, non défini par les textes, permet de considérer que</w:t>
      </w:r>
      <w:r w:rsidR="00104715">
        <w:t xml:space="preserve"> </w:t>
      </w:r>
      <w:r w:rsidRPr="00104715">
        <w:t>l’urgence vitale qui impose au professionnel d’agir immédiatement, constitue la seule exception</w:t>
      </w:r>
      <w:r w:rsidR="00104715">
        <w:t xml:space="preserve"> </w:t>
      </w:r>
      <w:r w:rsidRPr="00104715">
        <w:t>à l’obligation de recueillir le consentement et de respecter la volonté du patient.</w:t>
      </w:r>
    </w:p>
    <w:p w14:paraId="0202F33B" w14:textId="303D1D00" w:rsidR="00122D17" w:rsidRPr="00104715" w:rsidRDefault="00466D72" w:rsidP="00122D17">
      <w:pPr>
        <w:autoSpaceDE w:val="0"/>
        <w:autoSpaceDN w:val="0"/>
        <w:adjustRightInd w:val="0"/>
        <w:spacing w:line="240" w:lineRule="auto"/>
      </w:pPr>
      <w:r>
        <w:t>Un</w:t>
      </w:r>
      <w:r w:rsidR="00122D17" w:rsidRPr="00104715">
        <w:t xml:space="preserve"> acte invasif </w:t>
      </w:r>
      <w:r w:rsidR="00104715">
        <w:t>est égal à</w:t>
      </w:r>
      <w:r w:rsidR="00122D17" w:rsidRPr="00104715">
        <w:t xml:space="preserve"> </w:t>
      </w:r>
      <w:r w:rsidR="00104715">
        <w:t>un</w:t>
      </w:r>
      <w:r w:rsidR="00122D17" w:rsidRPr="00104715">
        <w:t xml:space="preserve"> consentement :</w:t>
      </w:r>
    </w:p>
    <w:p w14:paraId="4639CEFD" w14:textId="2D36D20F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 xml:space="preserve">- Information orale lors d’un entretien </w:t>
      </w:r>
      <w:r w:rsidR="00104715">
        <w:t>et la</w:t>
      </w:r>
      <w:r w:rsidRPr="00104715">
        <w:t xml:space="preserve"> remise d’une fiche d’informations</w:t>
      </w:r>
    </w:p>
    <w:p w14:paraId="6805756E" w14:textId="190FD8E5" w:rsidR="00122D17" w:rsidRDefault="00122D17" w:rsidP="00122D17">
      <w:r w:rsidRPr="00104715">
        <w:t xml:space="preserve">- Retour de cette fiche signée </w:t>
      </w:r>
      <w:r w:rsidR="00104715">
        <w:t>et</w:t>
      </w:r>
      <w:r w:rsidRPr="00104715">
        <w:t xml:space="preserve"> traçabilité dans le dossier patient</w:t>
      </w:r>
    </w:p>
    <w:p w14:paraId="16AEACB1" w14:textId="27AFF82E" w:rsidR="00122D17" w:rsidRPr="00104715" w:rsidRDefault="00122D17" w:rsidP="00104715">
      <w:pPr>
        <w:pStyle w:val="Titre1"/>
        <w:numPr>
          <w:ilvl w:val="0"/>
          <w:numId w:val="18"/>
        </w:numPr>
      </w:pPr>
      <w:bookmarkStart w:id="10" w:name="_Toc115796153"/>
      <w:r w:rsidRPr="00104715">
        <w:t>Les droits des patients</w:t>
      </w:r>
      <w:r w:rsidR="00104715">
        <w:t>/</w:t>
      </w:r>
      <w:r w:rsidRPr="00104715">
        <w:t>Droits de l’usager et du citoyen</w:t>
      </w:r>
      <w:bookmarkEnd w:id="10"/>
    </w:p>
    <w:p w14:paraId="4623B8D9" w14:textId="0A1FE4F6" w:rsidR="00122D17" w:rsidRPr="00104715" w:rsidRDefault="00122D17" w:rsidP="00366E21">
      <w:pPr>
        <w:pStyle w:val="Titre2"/>
        <w:numPr>
          <w:ilvl w:val="0"/>
          <w:numId w:val="46"/>
        </w:numPr>
      </w:pPr>
      <w:bookmarkStart w:id="11" w:name="_Toc115796154"/>
      <w:r w:rsidRPr="00104715">
        <w:t>Respect des libertés publiques</w:t>
      </w:r>
      <w:r w:rsidR="00104715" w:rsidRPr="00104715">
        <w:t> :</w:t>
      </w:r>
      <w:bookmarkEnd w:id="11"/>
    </w:p>
    <w:p w14:paraId="492118CD" w14:textId="15B421D0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- La liberté d’aller et venir</w:t>
      </w:r>
      <w:r w:rsidR="00104715">
        <w:t> : l</w:t>
      </w:r>
      <w:r w:rsidRPr="00104715">
        <w:t>’usager est libre de ses faits et gestes et notamment d’aller et de venir dans l’enceinte, hors</w:t>
      </w:r>
      <w:r w:rsidR="00104715">
        <w:t xml:space="preserve"> </w:t>
      </w:r>
      <w:r w:rsidRPr="00104715">
        <w:t>cas spécifiques.</w:t>
      </w:r>
    </w:p>
    <w:p w14:paraId="15C1455F" w14:textId="77777777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- Le respect des croyance religieuses</w:t>
      </w:r>
    </w:p>
    <w:p w14:paraId="6490A3A8" w14:textId="7884FE45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Les patients doivent pouvoir suivre les préceptes de leur religion. Cependant, pour des raisons</w:t>
      </w:r>
      <w:r w:rsidR="00104715">
        <w:t xml:space="preserve"> </w:t>
      </w:r>
      <w:r w:rsidRPr="00104715">
        <w:t>de sécurité et d’organisation du service, cette liberté religieuse doit être compatible avec le</w:t>
      </w:r>
      <w:r w:rsidR="00104715">
        <w:t xml:space="preserve"> </w:t>
      </w:r>
      <w:r w:rsidRPr="00104715">
        <w:t>respect des autres droits, notamment la tranquillité des malades ainsi que la qualité des soins</w:t>
      </w:r>
      <w:r w:rsidR="00104715">
        <w:t xml:space="preserve"> </w:t>
      </w:r>
      <w:r w:rsidRPr="00104715">
        <w:t>et l’égal accès aux soins pour tous.</w:t>
      </w:r>
    </w:p>
    <w:p w14:paraId="784D9FBB" w14:textId="3A7E9C79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Il en va de même concernant la tenue vestimentaire qui doit être compatible avec les règles</w:t>
      </w:r>
      <w:r w:rsidR="00104715">
        <w:t xml:space="preserve"> </w:t>
      </w:r>
      <w:r w:rsidRPr="00104715">
        <w:t>d’hygiène et de sécurité.</w:t>
      </w:r>
    </w:p>
    <w:p w14:paraId="53299D8A" w14:textId="2C3603BD" w:rsidR="00122D17" w:rsidRDefault="00122D17" w:rsidP="00104715">
      <w:pPr>
        <w:autoSpaceDE w:val="0"/>
        <w:autoSpaceDN w:val="0"/>
        <w:adjustRightInd w:val="0"/>
        <w:spacing w:line="240" w:lineRule="auto"/>
      </w:pPr>
      <w:r w:rsidRPr="00104715">
        <w:t>Il existe un service d’aumônerie au sein des 15-20 au niveau de la chapelle ainsi qu’une liste</w:t>
      </w:r>
      <w:r w:rsidR="00F80942">
        <w:t xml:space="preserve"> </w:t>
      </w:r>
      <w:r w:rsidRPr="00104715">
        <w:t>des officiants des différents cultes.</w:t>
      </w:r>
    </w:p>
    <w:p w14:paraId="58B6351E" w14:textId="77777777" w:rsidR="00104715" w:rsidRPr="00104715" w:rsidRDefault="00104715" w:rsidP="00104715">
      <w:pPr>
        <w:autoSpaceDE w:val="0"/>
        <w:autoSpaceDN w:val="0"/>
        <w:adjustRightInd w:val="0"/>
        <w:spacing w:line="240" w:lineRule="auto"/>
      </w:pPr>
    </w:p>
    <w:p w14:paraId="4DF80B46" w14:textId="24B89D58" w:rsidR="00304A2A" w:rsidRPr="00366E21" w:rsidRDefault="00304A2A" w:rsidP="00366E21">
      <w:pPr>
        <w:pStyle w:val="Titre2"/>
        <w:numPr>
          <w:ilvl w:val="0"/>
          <w:numId w:val="46"/>
        </w:numPr>
      </w:pPr>
      <w:bookmarkStart w:id="12" w:name="_Toc115796155"/>
      <w:r w:rsidRPr="00366E21">
        <w:t>Plainte, contentieux et indemnisation</w:t>
      </w:r>
      <w:bookmarkEnd w:id="12"/>
    </w:p>
    <w:p w14:paraId="3FD55B4A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Lorsque l’usager s’estime victime d’un préjudice, il peut :</w:t>
      </w:r>
    </w:p>
    <w:p w14:paraId="771BFE12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Faire une réclamation</w:t>
      </w:r>
    </w:p>
    <w:p w14:paraId="7495D088" w14:textId="23E12293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Avoir recours aux représentants des usagers, à la Commission des usagers, aux</w:t>
      </w:r>
      <w:r w:rsidR="00706069" w:rsidRPr="005363C4">
        <w:t xml:space="preserve"> </w:t>
      </w:r>
      <w:r w:rsidRPr="005363C4">
        <w:t>médiateurs</w:t>
      </w:r>
    </w:p>
    <w:p w14:paraId="326DDDC1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Être entendu par le CRUA ou un responsable de l’établissement</w:t>
      </w:r>
    </w:p>
    <w:p w14:paraId="420D8F13" w14:textId="5E290EB4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Demander réparation devant la commission de conciliation et d'indemnisation des</w:t>
      </w:r>
      <w:r w:rsidR="00706069" w:rsidRPr="005363C4">
        <w:t xml:space="preserve"> </w:t>
      </w:r>
      <w:r w:rsidRPr="005363C4">
        <w:t>accidents médicaux (CCI)</w:t>
      </w:r>
    </w:p>
    <w:p w14:paraId="1D36A1B3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Faire connaître sa situation à la Défenseure des droits</w:t>
      </w:r>
    </w:p>
    <w:p w14:paraId="697A2AC9" w14:textId="1906F1E5" w:rsidR="00304A2A" w:rsidRPr="005363C4" w:rsidRDefault="00304A2A" w:rsidP="00304A2A">
      <w:r w:rsidRPr="005363C4">
        <w:t>- Agir en justice</w:t>
      </w:r>
    </w:p>
    <w:p w14:paraId="3A7AAD17" w14:textId="77777777" w:rsidR="00706069" w:rsidRPr="00F80942" w:rsidRDefault="00706069" w:rsidP="00304A2A"/>
    <w:p w14:paraId="4A34BBF5" w14:textId="6D3157EC" w:rsidR="00304A2A" w:rsidRPr="00366E21" w:rsidRDefault="00304A2A" w:rsidP="00366E21">
      <w:pPr>
        <w:pStyle w:val="Titre2"/>
        <w:numPr>
          <w:ilvl w:val="0"/>
          <w:numId w:val="46"/>
        </w:numPr>
      </w:pPr>
      <w:bookmarkStart w:id="13" w:name="_Toc115796156"/>
      <w:r w:rsidRPr="00366E21">
        <w:t>Droit à la représentation des usagers du système de santé – niveau régional et national</w:t>
      </w:r>
      <w:bookmarkEnd w:id="13"/>
    </w:p>
    <w:p w14:paraId="0C9A2370" w14:textId="4EBB9615" w:rsidR="00304A2A" w:rsidRDefault="00304A2A" w:rsidP="005363C4">
      <w:r>
        <w:t>Les usagers du système de santé sont représentés dans les conseils des différentes agences</w:t>
      </w:r>
      <w:r w:rsidR="005363C4">
        <w:t xml:space="preserve"> </w:t>
      </w:r>
      <w:r>
        <w:t>sanitaires :</w:t>
      </w:r>
    </w:p>
    <w:p w14:paraId="104E473F" w14:textId="77777777" w:rsidR="00304A2A" w:rsidRDefault="00304A2A" w:rsidP="005363C4">
      <w:r>
        <w:t>- Agences Régionales de Santé (ARS)</w:t>
      </w:r>
    </w:p>
    <w:p w14:paraId="26100146" w14:textId="77777777" w:rsidR="00304A2A" w:rsidRDefault="00304A2A" w:rsidP="005363C4">
      <w:r>
        <w:t>- Conférences Régionales de la Santé et de l’Autonomie (CRSA)</w:t>
      </w:r>
    </w:p>
    <w:p w14:paraId="4F0D958C" w14:textId="77777777" w:rsidR="00304A2A" w:rsidRDefault="00304A2A" w:rsidP="005363C4">
      <w:r>
        <w:t>- Conférence Nationale de la Santé (CNS)</w:t>
      </w:r>
    </w:p>
    <w:p w14:paraId="572F01C3" w14:textId="77777777" w:rsidR="00304A2A" w:rsidRDefault="00304A2A" w:rsidP="005363C4">
      <w:r>
        <w:t>- Haute Autorité de Santé (HAS)</w:t>
      </w:r>
    </w:p>
    <w:p w14:paraId="416370E1" w14:textId="77777777" w:rsidR="00304A2A" w:rsidRDefault="00304A2A" w:rsidP="005363C4">
      <w:r>
        <w:t>Mais aussi :</w:t>
      </w:r>
    </w:p>
    <w:p w14:paraId="1EEE35D1" w14:textId="77777777" w:rsidR="00304A2A" w:rsidRDefault="00304A2A" w:rsidP="005363C4">
      <w:r>
        <w:t>- Dans le conseil d’administration de l’ONIAM</w:t>
      </w:r>
    </w:p>
    <w:p w14:paraId="5BF12C12" w14:textId="338E4E62" w:rsidR="005363C4" w:rsidRPr="00466D72" w:rsidRDefault="00304A2A" w:rsidP="005363C4">
      <w:r>
        <w:lastRenderedPageBreak/>
        <w:t>- Dans les</w:t>
      </w:r>
      <w:r w:rsidR="005363C4">
        <w:t xml:space="preserve"> </w:t>
      </w:r>
      <w:r w:rsidR="005363C4" w:rsidRPr="005363C4">
        <w:t>commission</w:t>
      </w:r>
      <w:r w:rsidR="005363C4">
        <w:t>s</w:t>
      </w:r>
      <w:r w:rsidR="005363C4" w:rsidRPr="005363C4">
        <w:t xml:space="preserve"> de conciliation et d'indemnisation</w:t>
      </w:r>
      <w:r>
        <w:t xml:space="preserve"> </w:t>
      </w:r>
      <w:r w:rsidR="005363C4">
        <w:t>(</w:t>
      </w:r>
      <w:r>
        <w:t>CCI</w:t>
      </w:r>
      <w:r w:rsidR="005363C4">
        <w:t>)</w:t>
      </w:r>
      <w:r>
        <w:t xml:space="preserve"> où ils participent à l’examen des dossiers</w:t>
      </w:r>
    </w:p>
    <w:p w14:paraId="3D7E6963" w14:textId="4E34A513" w:rsidR="00304A2A" w:rsidRDefault="00304A2A" w:rsidP="00366E21">
      <w:pPr>
        <w:pStyle w:val="Titre2"/>
        <w:numPr>
          <w:ilvl w:val="0"/>
          <w:numId w:val="46"/>
        </w:numPr>
      </w:pPr>
      <w:bookmarkStart w:id="14" w:name="_Toc115796157"/>
      <w:r w:rsidRPr="005363C4">
        <w:t>Droit à la représentation des usagers du système de santé au sein d’un établissement de</w:t>
      </w:r>
      <w:r w:rsidR="005363C4" w:rsidRPr="005363C4">
        <w:t xml:space="preserve"> </w:t>
      </w:r>
      <w:r w:rsidRPr="005363C4">
        <w:t>santé</w:t>
      </w:r>
      <w:bookmarkEnd w:id="14"/>
    </w:p>
    <w:p w14:paraId="54ADB161" w14:textId="77777777" w:rsidR="005363C4" w:rsidRPr="005363C4" w:rsidRDefault="005363C4" w:rsidP="005363C4"/>
    <w:p w14:paraId="02B7977D" w14:textId="41C2BCA9" w:rsidR="00304A2A" w:rsidRPr="005363C4" w:rsidRDefault="00304A2A" w:rsidP="005363C4">
      <w:r w:rsidRPr="005363C4">
        <w:t>Les usagers sont représentés à travers la désignation de 4 représentants des usagers (RU)</w:t>
      </w:r>
      <w:r w:rsidR="005363C4">
        <w:t xml:space="preserve"> </w:t>
      </w:r>
      <w:r w:rsidRPr="005363C4">
        <w:t>par le Directeur Général de l’ARS. Ces personnes sont proposées par des associations agrées.</w:t>
      </w:r>
    </w:p>
    <w:p w14:paraId="37F852B6" w14:textId="47EAF688" w:rsidR="00304A2A" w:rsidRDefault="00304A2A" w:rsidP="00304A2A">
      <w:r w:rsidRPr="005363C4">
        <w:t>Ils sont les porteurs de la parole des usagers, veillent au respect de leurs droits dans les</w:t>
      </w:r>
      <w:r w:rsidR="00466D72">
        <w:t xml:space="preserve"> </w:t>
      </w:r>
      <w:r w:rsidRPr="005363C4">
        <w:t>commissions et instances dans lesquelles ils ont été mandatés, notamment dans la commission</w:t>
      </w:r>
      <w:r w:rsidR="005363C4">
        <w:t xml:space="preserve"> </w:t>
      </w:r>
      <w:r w:rsidRPr="005363C4">
        <w:t>des usagers. Ils peuvent être contactés par les usagers à tout moment.</w:t>
      </w:r>
    </w:p>
    <w:p w14:paraId="280167E5" w14:textId="24B2A2CC" w:rsidR="005363C4" w:rsidRDefault="005363C4" w:rsidP="00304A2A">
      <w:r>
        <w:t xml:space="preserve">Par mail : </w:t>
      </w:r>
      <w:hyperlink r:id="rId6" w:history="1">
        <w:r w:rsidRPr="00A21F04">
          <w:rPr>
            <w:rStyle w:val="Lienhypertexte"/>
          </w:rPr>
          <w:t>representantsdesusagers@15-20.fr</w:t>
        </w:r>
      </w:hyperlink>
    </w:p>
    <w:p w14:paraId="5575F4A4" w14:textId="2E23699A" w:rsidR="005363C4" w:rsidRDefault="005363C4" w:rsidP="00304A2A">
      <w:r>
        <w:t>Par téléphone : Mr Yves Denis (association Les petits frères des pauvres) 06</w:t>
      </w:r>
      <w:r w:rsidR="00FB7A15">
        <w:t>.</w:t>
      </w:r>
      <w:r>
        <w:t>73</w:t>
      </w:r>
      <w:r w:rsidR="00FB7A15">
        <w:t>.</w:t>
      </w:r>
      <w:r>
        <w:t>22</w:t>
      </w:r>
      <w:r w:rsidR="00FB7A15">
        <w:t>.</w:t>
      </w:r>
      <w:r>
        <w:t>24</w:t>
      </w:r>
      <w:r w:rsidR="00FB7A15">
        <w:t>.</w:t>
      </w:r>
      <w:r>
        <w:t>61</w:t>
      </w:r>
    </w:p>
    <w:p w14:paraId="7282E354" w14:textId="2A3B8B73" w:rsidR="005363C4" w:rsidRDefault="005363C4" w:rsidP="00304A2A">
      <w:r>
        <w:t>Mme Denise Noel Rieu (Ligue contre le cancer) 06</w:t>
      </w:r>
      <w:r w:rsidR="00FB7A15">
        <w:t>.</w:t>
      </w:r>
      <w:r>
        <w:t>70</w:t>
      </w:r>
      <w:r w:rsidR="00FB7A15">
        <w:t>.</w:t>
      </w:r>
      <w:r>
        <w:t>52</w:t>
      </w:r>
      <w:r w:rsidR="00FB7A15">
        <w:t>.</w:t>
      </w:r>
      <w:r>
        <w:t>81</w:t>
      </w:r>
      <w:r w:rsidR="00FB7A15">
        <w:t>.</w:t>
      </w:r>
      <w:r>
        <w:t>50</w:t>
      </w:r>
    </w:p>
    <w:p w14:paraId="5853EF5F" w14:textId="298C0F68" w:rsidR="005363C4" w:rsidRPr="00A94577" w:rsidRDefault="005363C4" w:rsidP="00304A2A">
      <w:pPr>
        <w:rPr>
          <w:lang w:val="en-US"/>
        </w:rPr>
      </w:pPr>
      <w:proofErr w:type="spellStart"/>
      <w:r w:rsidRPr="00A94577">
        <w:rPr>
          <w:lang w:val="en-US"/>
        </w:rPr>
        <w:t>Mr</w:t>
      </w:r>
      <w:proofErr w:type="spellEnd"/>
      <w:r w:rsidRPr="00A94577">
        <w:rPr>
          <w:lang w:val="en-US"/>
        </w:rPr>
        <w:t xml:space="preserve"> Didier </w:t>
      </w:r>
      <w:proofErr w:type="spellStart"/>
      <w:r w:rsidRPr="00A94577">
        <w:rPr>
          <w:lang w:val="en-US"/>
        </w:rPr>
        <w:t>L</w:t>
      </w:r>
      <w:r w:rsidR="00FB7A15" w:rsidRPr="00A94577">
        <w:rPr>
          <w:lang w:val="en-US"/>
        </w:rPr>
        <w:t>egoff</w:t>
      </w:r>
      <w:proofErr w:type="spellEnd"/>
      <w:r w:rsidRPr="00A94577">
        <w:rPr>
          <w:lang w:val="en-US"/>
        </w:rPr>
        <w:t xml:space="preserve"> (Association </w:t>
      </w:r>
      <w:proofErr w:type="spellStart"/>
      <w:r w:rsidRPr="00A94577">
        <w:rPr>
          <w:lang w:val="en-US"/>
        </w:rPr>
        <w:t>valentin</w:t>
      </w:r>
      <w:proofErr w:type="spellEnd"/>
      <w:r w:rsidRPr="00A94577">
        <w:rPr>
          <w:lang w:val="en-US"/>
        </w:rPr>
        <w:t xml:space="preserve"> </w:t>
      </w:r>
      <w:proofErr w:type="spellStart"/>
      <w:r w:rsidRPr="00A94577">
        <w:rPr>
          <w:lang w:val="en-US"/>
        </w:rPr>
        <w:t>Haüy</w:t>
      </w:r>
      <w:proofErr w:type="spellEnd"/>
      <w:r w:rsidRPr="00A94577">
        <w:rPr>
          <w:lang w:val="en-US"/>
        </w:rPr>
        <w:t>) 06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63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92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39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68</w:t>
      </w:r>
    </w:p>
    <w:p w14:paraId="054F5B1E" w14:textId="6A66D0B8" w:rsidR="00304A2A" w:rsidRPr="007F4377" w:rsidRDefault="00FB7A15" w:rsidP="00304A2A">
      <w:r>
        <w:t xml:space="preserve">Mr Alain </w:t>
      </w:r>
      <w:proofErr w:type="spellStart"/>
      <w:r>
        <w:t>Laforêt</w:t>
      </w:r>
      <w:proofErr w:type="spellEnd"/>
      <w:r>
        <w:t xml:space="preserve"> (Association nationale des retraités 06.14.11.61.22</w:t>
      </w:r>
    </w:p>
    <w:p w14:paraId="5812732B" w14:textId="77777777" w:rsidR="00304A2A" w:rsidRPr="00FB7A15" w:rsidRDefault="00304A2A" w:rsidP="00FB7A15">
      <w:pPr>
        <w:pStyle w:val="Titre1"/>
      </w:pPr>
      <w:bookmarkStart w:id="15" w:name="_Toc115796158"/>
      <w:r w:rsidRPr="00FB7A15">
        <w:t>La Commission des usagers - CDU</w:t>
      </w:r>
      <w:bookmarkEnd w:id="15"/>
    </w:p>
    <w:p w14:paraId="617DAC4D" w14:textId="4DF83909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La Commission Des Usagers (CDU) est une instance de l’hôpital permettant de renforcer la</w:t>
      </w:r>
      <w:r w:rsidR="00FB7A15">
        <w:t xml:space="preserve"> </w:t>
      </w:r>
      <w:r w:rsidRPr="00FB7A15">
        <w:t>place des usagers.</w:t>
      </w:r>
    </w:p>
    <w:p w14:paraId="2D47FB89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Parmi ses missions :</w:t>
      </w:r>
    </w:p>
    <w:p w14:paraId="3D899062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Veiller au respect des droits des usagers et de faciliter leurs démarches</w:t>
      </w:r>
    </w:p>
    <w:p w14:paraId="6174E2BB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Examiner les réclamations, médiations et contentieux</w:t>
      </w:r>
    </w:p>
    <w:p w14:paraId="5C2B05AF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Analyser les résultats des enquêtes de satisfaction</w:t>
      </w:r>
    </w:p>
    <w:p w14:paraId="7985FE09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Participer à l’amélioration de la politique d’accueil et de prise en charge</w:t>
      </w:r>
    </w:p>
    <w:p w14:paraId="246F9BF4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Rédaction d’un rapport annuel d’activité transmis à l’ARS</w:t>
      </w:r>
    </w:p>
    <w:p w14:paraId="42AA276F" w14:textId="796DA9CF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 xml:space="preserve">Au sein des </w:t>
      </w:r>
      <w:r w:rsidR="00FB7A15">
        <w:t xml:space="preserve">quinze </w:t>
      </w:r>
      <w:r w:rsidR="00D7519A">
        <w:t>vingt</w:t>
      </w:r>
      <w:r w:rsidRPr="00FB7A15">
        <w:t>, elle est composée du représentant légal de l’hôpital, les</w:t>
      </w:r>
      <w:r w:rsidR="00FB7A15">
        <w:t xml:space="preserve"> </w:t>
      </w:r>
      <w:r w:rsidRPr="00FB7A15">
        <w:t>médiateurs, les</w:t>
      </w:r>
      <w:r w:rsidR="00FB7A15">
        <w:t xml:space="preserve"> </w:t>
      </w:r>
      <w:r w:rsidRPr="00FB7A15">
        <w:t>représentants des usagers, l’équipe de direction, le service qualité-patientèle, le président de</w:t>
      </w:r>
      <w:r w:rsidR="00FB7A15">
        <w:t xml:space="preserve"> </w:t>
      </w:r>
      <w:r w:rsidRPr="00FB7A15">
        <w:t>la Commission Médicale d’Etablissement (CME) et des invités.</w:t>
      </w:r>
    </w:p>
    <w:p w14:paraId="17896EF3" w14:textId="05620202" w:rsidR="00FB7A15" w:rsidRPr="00FB7A15" w:rsidRDefault="00304A2A" w:rsidP="00FB7A15">
      <w:pPr>
        <w:autoSpaceDE w:val="0"/>
        <w:autoSpaceDN w:val="0"/>
        <w:adjustRightInd w:val="0"/>
        <w:spacing w:line="240" w:lineRule="auto"/>
      </w:pPr>
      <w:r w:rsidRPr="00FB7A15">
        <w:t>Tous sont astreints au secret professionnel.</w:t>
      </w:r>
    </w:p>
    <w:p w14:paraId="2EDC0125" w14:textId="77777777" w:rsidR="00304A2A" w:rsidRDefault="00304A2A" w:rsidP="00FB7A15">
      <w:pPr>
        <w:pStyle w:val="Titre1"/>
      </w:pPr>
      <w:bookmarkStart w:id="16" w:name="_Toc115796159"/>
      <w:r>
        <w:t>La parole des usagers</w:t>
      </w:r>
      <w:bookmarkEnd w:id="16"/>
    </w:p>
    <w:p w14:paraId="4924B28C" w14:textId="68C3FA30" w:rsidR="00304A2A" w:rsidRDefault="00304A2A" w:rsidP="00FB7A15">
      <w:pPr>
        <w:pStyle w:val="Titre2"/>
        <w:numPr>
          <w:ilvl w:val="0"/>
          <w:numId w:val="38"/>
        </w:numPr>
      </w:pPr>
      <w:bookmarkStart w:id="17" w:name="_Toc115796160"/>
      <w:r>
        <w:t>Les réclamations</w:t>
      </w:r>
      <w:bookmarkEnd w:id="17"/>
    </w:p>
    <w:p w14:paraId="1FE270FD" w14:textId="635604EF" w:rsidR="00304A2A" w:rsidRDefault="00FB7A15" w:rsidP="00FB7A15">
      <w:r>
        <w:t>Les m</w:t>
      </w:r>
      <w:r w:rsidR="00304A2A">
        <w:t>odalités</w:t>
      </w:r>
      <w:r>
        <w:t xml:space="preserve"> sont les suivantes</w:t>
      </w:r>
      <w:r w:rsidR="00304A2A">
        <w:t xml:space="preserve"> : courrier, mail, formulaire en ligne, téléphone, rencontre physique.</w:t>
      </w:r>
    </w:p>
    <w:p w14:paraId="4D15625E" w14:textId="77777777" w:rsidR="00304A2A" w:rsidRDefault="00304A2A" w:rsidP="00FB7A15">
      <w:r>
        <w:t>Elles sont classées selon les catégories de l’Agence Régionale de Santé :</w:t>
      </w:r>
    </w:p>
    <w:p w14:paraId="486B7C6D" w14:textId="77777777" w:rsidR="00304A2A" w:rsidRDefault="00304A2A" w:rsidP="00FB7A15">
      <w:r>
        <w:rPr>
          <w:szCs w:val="24"/>
        </w:rPr>
        <w:t xml:space="preserve">- </w:t>
      </w:r>
      <w:r>
        <w:t>accueil et administration</w:t>
      </w:r>
    </w:p>
    <w:p w14:paraId="5E9137FD" w14:textId="77777777" w:rsidR="00304A2A" w:rsidRDefault="00304A2A" w:rsidP="00FB7A15">
      <w:r>
        <w:t>- prise en charge médicale</w:t>
      </w:r>
    </w:p>
    <w:p w14:paraId="041DCF50" w14:textId="77777777" w:rsidR="00304A2A" w:rsidRDefault="00304A2A" w:rsidP="00FB7A15">
      <w:r>
        <w:t>- prise en charge paramédicale</w:t>
      </w:r>
    </w:p>
    <w:p w14:paraId="06A6E0D8" w14:textId="77777777" w:rsidR="00304A2A" w:rsidRDefault="00304A2A" w:rsidP="00FB7A15">
      <w:r>
        <w:t>- vie quotidienne et environnement</w:t>
      </w:r>
    </w:p>
    <w:p w14:paraId="4B0C7B76" w14:textId="7B80C19D" w:rsidR="00304A2A" w:rsidRDefault="00304A2A" w:rsidP="00FB7A15">
      <w:r>
        <w:t>- respect de la personne.</w:t>
      </w:r>
    </w:p>
    <w:p w14:paraId="15909255" w14:textId="77777777" w:rsidR="00FB7A15" w:rsidRDefault="00FB7A15" w:rsidP="00FB7A15"/>
    <w:p w14:paraId="38E9322A" w14:textId="460FFD1B" w:rsidR="00304A2A" w:rsidRDefault="00FB7A15" w:rsidP="00FB7A15">
      <w:r>
        <w:t>Le t</w:t>
      </w:r>
      <w:r w:rsidR="00304A2A">
        <w:t xml:space="preserve">raitement </w:t>
      </w:r>
      <w:r>
        <w:t>est le suivant :</w:t>
      </w:r>
    </w:p>
    <w:p w14:paraId="653635FE" w14:textId="77777777" w:rsidR="00304A2A" w:rsidRDefault="00304A2A" w:rsidP="00FB7A15">
      <w:r>
        <w:t>- Envoi d’un accusé de réception au patient</w:t>
      </w:r>
    </w:p>
    <w:p w14:paraId="18608B22" w14:textId="546CADE6" w:rsidR="00304A2A" w:rsidRDefault="00304A2A" w:rsidP="00FB7A15">
      <w:r>
        <w:t>- Envoi de la réclamation et demande d’éléments de réponse aux professionnels</w:t>
      </w:r>
      <w:r w:rsidR="00FB7A15">
        <w:t xml:space="preserve"> </w:t>
      </w:r>
      <w:r>
        <w:t>concernés par la réclamation</w:t>
      </w:r>
    </w:p>
    <w:p w14:paraId="4AC65B50" w14:textId="77777777" w:rsidR="00304A2A" w:rsidRDefault="00304A2A" w:rsidP="00FB7A15">
      <w:r>
        <w:t>- Envoi d’un courrier de réponse au patient</w:t>
      </w:r>
    </w:p>
    <w:p w14:paraId="07A00DB2" w14:textId="36A9DC3D" w:rsidR="00304A2A" w:rsidRDefault="00304A2A" w:rsidP="00FB7A15">
      <w:pPr>
        <w:rPr>
          <w:color w:val="318DEA"/>
          <w:sz w:val="42"/>
          <w:szCs w:val="42"/>
        </w:rPr>
      </w:pPr>
      <w:r>
        <w:lastRenderedPageBreak/>
        <w:t>- Organisation d’une médiation, si nécessaire</w:t>
      </w:r>
    </w:p>
    <w:p w14:paraId="2D6D8835" w14:textId="1B75DE50" w:rsidR="00304A2A" w:rsidRPr="00FB7A15" w:rsidRDefault="00304A2A" w:rsidP="00FB7A15">
      <w:pPr>
        <w:pStyle w:val="Titre2"/>
        <w:numPr>
          <w:ilvl w:val="0"/>
          <w:numId w:val="38"/>
        </w:numPr>
      </w:pPr>
      <w:bookmarkStart w:id="18" w:name="_Toc115796161"/>
      <w:r w:rsidRPr="00FB7A15">
        <w:t>Les médiations</w:t>
      </w:r>
      <w:bookmarkEnd w:id="18"/>
    </w:p>
    <w:p w14:paraId="04C6B852" w14:textId="45592C65" w:rsidR="00304A2A" w:rsidRPr="00FB7A15" w:rsidRDefault="00304A2A" w:rsidP="00FB7A15">
      <w:r w:rsidRPr="00FB7A15">
        <w:t>L’usager a la possibilité de saisir les médiateurs médicaux ou paramédicaux, selon les</w:t>
      </w:r>
      <w:r w:rsidR="00FB7A15">
        <w:t xml:space="preserve"> </w:t>
      </w:r>
      <w:r w:rsidRPr="00FB7A15">
        <w:t>griefs invoqués.</w:t>
      </w:r>
    </w:p>
    <w:p w14:paraId="6C2E7339" w14:textId="2C7E8D56" w:rsidR="00304A2A" w:rsidRPr="00FB7A15" w:rsidRDefault="00304A2A" w:rsidP="00FB7A15">
      <w:r w:rsidRPr="00FB7A15">
        <w:t>Une médiation est un entretien visant à compléter les informations fournies au patient,</w:t>
      </w:r>
      <w:r w:rsidR="00FB7A15">
        <w:t xml:space="preserve"> </w:t>
      </w:r>
      <w:r w:rsidRPr="00FB7A15">
        <w:t>qui peut être accompagné d’un Représentant des Usagers. Si nécessaire, les voies de</w:t>
      </w:r>
      <w:r w:rsidR="00FB7A15">
        <w:t xml:space="preserve"> </w:t>
      </w:r>
      <w:r w:rsidRPr="00FB7A15">
        <w:t>recours possibles sont présentées.</w:t>
      </w:r>
    </w:p>
    <w:p w14:paraId="6542A976" w14:textId="0F214C4D" w:rsidR="00304A2A" w:rsidRPr="00FB7A15" w:rsidRDefault="00304A2A" w:rsidP="00FB7A15">
      <w:r w:rsidRPr="00FB7A15">
        <w:t xml:space="preserve">Le médiateur rédige un compte-rendu de cet entretien qu’il adresse aux membres de la </w:t>
      </w:r>
      <w:r w:rsidR="00FB7A15" w:rsidRPr="00FB7A15">
        <w:t>Commissions des usagers</w:t>
      </w:r>
      <w:r w:rsidR="00FB7A15">
        <w:t xml:space="preserve"> </w:t>
      </w:r>
      <w:r w:rsidRPr="00FB7A15">
        <w:t>et au patient. Il présente le sujet lors des Commissions des usagers.</w:t>
      </w:r>
    </w:p>
    <w:p w14:paraId="496C0EE6" w14:textId="588ECBFD" w:rsidR="00304A2A" w:rsidRPr="00FB7A15" w:rsidRDefault="00304A2A" w:rsidP="00FB7A15">
      <w:pPr>
        <w:pStyle w:val="Titre2"/>
        <w:numPr>
          <w:ilvl w:val="0"/>
          <w:numId w:val="38"/>
        </w:numPr>
      </w:pPr>
      <w:bookmarkStart w:id="19" w:name="_Toc115796162"/>
      <w:r w:rsidRPr="00FB7A15">
        <w:t>Les enquêtes de satisfaction</w:t>
      </w:r>
      <w:bookmarkEnd w:id="19"/>
    </w:p>
    <w:p w14:paraId="60F50E8D" w14:textId="34C0EA0C" w:rsidR="00304A2A" w:rsidRPr="00FB7A15" w:rsidRDefault="00304A2A" w:rsidP="00FB7A15">
      <w:r w:rsidRPr="00FB7A15">
        <w:t>Les enquêtes de satisfaction font partie intégrante de la démarche d’amélioration de la qualité</w:t>
      </w:r>
      <w:r w:rsidR="00FB7A15">
        <w:t xml:space="preserve"> </w:t>
      </w:r>
      <w:r w:rsidRPr="00FB7A15">
        <w:t>et de la sécurité des soins et de l’expérience patient.</w:t>
      </w:r>
    </w:p>
    <w:p w14:paraId="343C11F6" w14:textId="085F1781" w:rsidR="00304A2A" w:rsidRPr="00FB7A15" w:rsidRDefault="00304A2A" w:rsidP="00FB7A15">
      <w:r w:rsidRPr="00FB7A15">
        <w:t xml:space="preserve">Au sein </w:t>
      </w:r>
      <w:r w:rsidR="00FB7A15">
        <w:t>de l’hôpital des</w:t>
      </w:r>
      <w:r w:rsidRPr="00FB7A15">
        <w:t xml:space="preserve"> </w:t>
      </w:r>
      <w:r w:rsidR="00FB7A15">
        <w:t xml:space="preserve">quinze </w:t>
      </w:r>
      <w:proofErr w:type="spellStart"/>
      <w:r w:rsidR="00FB7A15">
        <w:t>vingts</w:t>
      </w:r>
      <w:proofErr w:type="spellEnd"/>
      <w:r w:rsidRPr="00FB7A15">
        <w:t>, elles diffèrent selon le type de prise en charge :</w:t>
      </w:r>
    </w:p>
    <w:p w14:paraId="67D3B91F" w14:textId="269C51C3" w:rsidR="00304A2A" w:rsidRPr="00FB7A15" w:rsidRDefault="00304A2A" w:rsidP="00FB7A15">
      <w:r w:rsidRPr="00FB7A15">
        <w:t xml:space="preserve">- </w:t>
      </w:r>
      <w:r w:rsidR="00FB7A15" w:rsidRPr="00FB7A15">
        <w:t>À la suite d’une</w:t>
      </w:r>
      <w:r w:rsidRPr="00FB7A15">
        <w:t xml:space="preserve"> hospitalisation ou un séjour ambulatoire : questionnaire national e-Satis</w:t>
      </w:r>
      <w:r w:rsidR="00FB7A15">
        <w:t xml:space="preserve"> </w:t>
      </w:r>
      <w:r w:rsidRPr="00FB7A15">
        <w:t>envoyé par mail.</w:t>
      </w:r>
    </w:p>
    <w:p w14:paraId="792304DC" w14:textId="68BCBCA3" w:rsidR="00304A2A" w:rsidRPr="00FB7A15" w:rsidRDefault="00304A2A" w:rsidP="00FB7A15">
      <w:r w:rsidRPr="00FB7A15">
        <w:t xml:space="preserve">- </w:t>
      </w:r>
      <w:r w:rsidR="00FB7A15" w:rsidRPr="00FB7A15">
        <w:t>À la suite d’une</w:t>
      </w:r>
      <w:r w:rsidRPr="00FB7A15">
        <w:t xml:space="preserve"> consultation, passage aux urgences, au laboratoire, en pharmacie ou en</w:t>
      </w:r>
      <w:r w:rsidR="00FB7A15">
        <w:t xml:space="preserve"> </w:t>
      </w:r>
      <w:r w:rsidRPr="00FB7A15">
        <w:t>imagerie : enquête interne envoyée par mail (lien informatique direct vers logiciel), ou</w:t>
      </w:r>
      <w:r w:rsidR="00FB7A15">
        <w:t xml:space="preserve"> </w:t>
      </w:r>
      <w:r w:rsidRPr="00FB7A15">
        <w:t>scannée grâce à un QR code disponible dans les salles d’attente ou récupérée sous</w:t>
      </w:r>
      <w:r w:rsidR="00FB7A15">
        <w:t xml:space="preserve"> </w:t>
      </w:r>
      <w:r w:rsidRPr="00FB7A15">
        <w:t>format papier à l’accueil.</w:t>
      </w:r>
    </w:p>
    <w:p w14:paraId="76E4488E" w14:textId="592D5A17" w:rsidR="00304A2A" w:rsidRPr="00FB7A15" w:rsidRDefault="00304A2A" w:rsidP="00304A2A">
      <w:r w:rsidRPr="00FB7A15">
        <w:t>Les résultats des enquêtes de satisfaction sont affichés dans les salles d’attente et</w:t>
      </w:r>
      <w:r w:rsidR="00FB7A15">
        <w:t xml:space="preserve"> </w:t>
      </w:r>
      <w:r w:rsidRPr="00FB7A15">
        <w:t>présentés aux équipes.</w:t>
      </w:r>
    </w:p>
    <w:p w14:paraId="6943BB2F" w14:textId="31DCAD08" w:rsidR="00304A2A" w:rsidRPr="00FB7A15" w:rsidRDefault="00304A2A" w:rsidP="00FB7A15">
      <w:pPr>
        <w:pStyle w:val="Titre2"/>
        <w:numPr>
          <w:ilvl w:val="0"/>
          <w:numId w:val="38"/>
        </w:numPr>
      </w:pPr>
      <w:bookmarkStart w:id="20" w:name="_Toc115796163"/>
      <w:r w:rsidRPr="00FB7A15">
        <w:t>Analyse</w:t>
      </w:r>
      <w:bookmarkEnd w:id="20"/>
    </w:p>
    <w:p w14:paraId="5B1B2BAA" w14:textId="6A74A5E1" w:rsidR="00304A2A" w:rsidRPr="00FB7A15" w:rsidRDefault="00304A2A" w:rsidP="00FB7A15">
      <w:r w:rsidRPr="00FB7A15">
        <w:t>La parole des usagers, au travers des réclamations, des éloges, des médiations, des enquêtes</w:t>
      </w:r>
      <w:r w:rsidR="00FB7A15">
        <w:t xml:space="preserve"> </w:t>
      </w:r>
      <w:r w:rsidRPr="00FB7A15">
        <w:t>de satisfaction et des avis sur les réseaux sociaux, est analysée en Commission Des</w:t>
      </w:r>
      <w:r w:rsidR="00FB7A15">
        <w:t xml:space="preserve"> </w:t>
      </w:r>
      <w:r w:rsidRPr="00FB7A15">
        <w:t>Usagers.</w:t>
      </w:r>
    </w:p>
    <w:p w14:paraId="3C66FF7C" w14:textId="77777777" w:rsidR="00304A2A" w:rsidRPr="00FB7A15" w:rsidRDefault="00304A2A" w:rsidP="00FB7A15">
      <w:r w:rsidRPr="00FB7A15">
        <w:t>Ces analyses sont :</w:t>
      </w:r>
    </w:p>
    <w:p w14:paraId="56641302" w14:textId="77777777" w:rsidR="00304A2A" w:rsidRPr="00FB7A15" w:rsidRDefault="00304A2A" w:rsidP="00FB7A15">
      <w:r w:rsidRPr="00FB7A15">
        <w:t>- quantitatives (pourcentage de satisfaction)</w:t>
      </w:r>
    </w:p>
    <w:p w14:paraId="47ACA013" w14:textId="05C5ED6F" w:rsidR="00304A2A" w:rsidRPr="00FB7A15" w:rsidRDefault="00304A2A" w:rsidP="00FB7A15">
      <w:r w:rsidRPr="00FB7A15">
        <w:t>- qualitatives (points positifs et négatifs). Une analyse des verbatims est opérée par une</w:t>
      </w:r>
      <w:r w:rsidR="00FB7A15">
        <w:t xml:space="preserve"> </w:t>
      </w:r>
      <w:r w:rsidRPr="00FB7A15">
        <w:t xml:space="preserve">intelligence artificielle de la société </w:t>
      </w:r>
      <w:proofErr w:type="spellStart"/>
      <w:r w:rsidRPr="00FB7A15">
        <w:t>Betterworld</w:t>
      </w:r>
      <w:proofErr w:type="spellEnd"/>
      <w:r w:rsidRPr="00FB7A15">
        <w:t xml:space="preserve"> qui mesure la satisfaction des patients en</w:t>
      </w:r>
      <w:r w:rsidR="00FB7A15">
        <w:t xml:space="preserve"> </w:t>
      </w:r>
      <w:r w:rsidRPr="00FB7A15">
        <w:t>décryptant leur sentiment et leur vécu expérientiel.</w:t>
      </w:r>
    </w:p>
    <w:p w14:paraId="6EB6BD49" w14:textId="10F4D53F" w:rsidR="00304A2A" w:rsidRPr="00FB7A15" w:rsidRDefault="00304A2A" w:rsidP="00304A2A">
      <w:r w:rsidRPr="00FB7A15">
        <w:t xml:space="preserve">L’hôpital des </w:t>
      </w:r>
      <w:r w:rsidR="00FB7A15">
        <w:t xml:space="preserve">quinze </w:t>
      </w:r>
      <w:proofErr w:type="spellStart"/>
      <w:r w:rsidR="007F4377">
        <w:t>vingts</w:t>
      </w:r>
      <w:proofErr w:type="spellEnd"/>
      <w:r w:rsidRPr="00FB7A15">
        <w:t xml:space="preserve"> porte </w:t>
      </w:r>
      <w:r w:rsidR="00FB7A15" w:rsidRPr="00FB7A15">
        <w:t>une attention</w:t>
      </w:r>
      <w:r w:rsidRPr="00FB7A15">
        <w:t xml:space="preserve"> particulière à la parole du patient. Grâce </w:t>
      </w:r>
      <w:r w:rsidR="001B2B1A" w:rsidRPr="00FB7A15">
        <w:t xml:space="preserve">à </w:t>
      </w:r>
      <w:r w:rsidR="001B2B1A">
        <w:t>celle</w:t>
      </w:r>
      <w:r w:rsidR="00FB7A15">
        <w:t>-</w:t>
      </w:r>
      <w:r w:rsidR="00FB7A15" w:rsidRPr="00FB7A15">
        <w:t>ci</w:t>
      </w:r>
      <w:r w:rsidRPr="00FB7A15">
        <w:t>,</w:t>
      </w:r>
      <w:r w:rsidR="00FB7A15">
        <w:t xml:space="preserve"> </w:t>
      </w:r>
      <w:r w:rsidRPr="00FB7A15">
        <w:t>des actions sont mises en place pour améliorer les conditions d’accueil et les droits des</w:t>
      </w:r>
      <w:r w:rsidR="00FB7A15">
        <w:t xml:space="preserve"> </w:t>
      </w:r>
      <w:r w:rsidRPr="00FB7A15">
        <w:t>patients.</w:t>
      </w:r>
    </w:p>
    <w:p w14:paraId="4DBE5B4C" w14:textId="7B05E29D" w:rsidR="00304A2A" w:rsidRDefault="00304A2A" w:rsidP="003D7BC1">
      <w:pPr>
        <w:pStyle w:val="Titre1"/>
      </w:pPr>
      <w:bookmarkStart w:id="21" w:name="_Toc115796164"/>
      <w:r w:rsidRPr="003D7BC1">
        <w:t>Pour aller plus loin…</w:t>
      </w:r>
      <w:bookmarkEnd w:id="21"/>
    </w:p>
    <w:p w14:paraId="2BD3A12A" w14:textId="2522A248" w:rsidR="003D7BC1" w:rsidRPr="003D7BC1" w:rsidRDefault="003D7BC1" w:rsidP="003D7BC1">
      <w:r>
        <w:t>Voici la liste de tests de Loi, de circulaires</w:t>
      </w:r>
      <w:r w:rsidR="001B2B1A">
        <w:t>, d’articles importants.</w:t>
      </w:r>
    </w:p>
    <w:p w14:paraId="052B831E" w14:textId="331EA457" w:rsidR="00304A2A" w:rsidRDefault="00304A2A" w:rsidP="003D7BC1">
      <w:r w:rsidRPr="00D7519A">
        <w:t xml:space="preserve">• Maison des usagers </w:t>
      </w:r>
      <w:r>
        <w:t>: Circulaire DHOS/E1 n</w:t>
      </w:r>
      <w:r w:rsidRPr="00D7519A">
        <w:t xml:space="preserve">o </w:t>
      </w:r>
      <w:r>
        <w:t>2006-550 du 28/12/2006 relative à la mise</w:t>
      </w:r>
      <w:r w:rsidR="003D7BC1">
        <w:t xml:space="preserve"> </w:t>
      </w:r>
      <w:r>
        <w:t>en place de maisons des usagers au sein des établissements de santé</w:t>
      </w:r>
    </w:p>
    <w:p w14:paraId="6811EBC8" w14:textId="61B0DC84" w:rsidR="00304A2A" w:rsidRDefault="00304A2A" w:rsidP="003D7BC1">
      <w:r w:rsidRPr="00D7519A">
        <w:t xml:space="preserve">• Droits des </w:t>
      </w:r>
      <w:r w:rsidR="003D7BC1" w:rsidRPr="00D7519A">
        <w:t>patients</w:t>
      </w:r>
      <w:r w:rsidR="003D7BC1">
        <w:t xml:space="preserve"> :</w:t>
      </w:r>
      <w:r>
        <w:t xml:space="preserve"> Loi n° 2002-303 du 04/03/2002 relative aux droits des malades e</w:t>
      </w:r>
      <w:r w:rsidR="003D7BC1">
        <w:t>t la</w:t>
      </w:r>
      <w:r>
        <w:t xml:space="preserve"> qualité du système de santé</w:t>
      </w:r>
    </w:p>
    <w:p w14:paraId="128F36BE" w14:textId="0AA449E2" w:rsidR="00304A2A" w:rsidRDefault="00304A2A" w:rsidP="003D7BC1">
      <w:r>
        <w:t xml:space="preserve">- </w:t>
      </w:r>
      <w:r w:rsidR="001B2B1A" w:rsidRPr="00D7519A">
        <w:t>Non-discrimination</w:t>
      </w:r>
      <w:r w:rsidRPr="00D7519A">
        <w:t xml:space="preserve"> </w:t>
      </w:r>
      <w:r>
        <w:t>: Article L1110-3 - Code de la santé publique</w:t>
      </w:r>
    </w:p>
    <w:p w14:paraId="1B33DDC2" w14:textId="77777777" w:rsidR="00304A2A" w:rsidRDefault="00304A2A" w:rsidP="003D7BC1">
      <w:r>
        <w:t xml:space="preserve">- </w:t>
      </w:r>
      <w:r w:rsidRPr="00D7519A">
        <w:t xml:space="preserve">Droit à l’information </w:t>
      </w:r>
      <w:r>
        <w:t>: Article L1111-2 - Code de la santé publique</w:t>
      </w:r>
    </w:p>
    <w:p w14:paraId="2FCF20F0" w14:textId="77777777" w:rsidR="00304A2A" w:rsidRDefault="00304A2A" w:rsidP="003D7BC1">
      <w:r>
        <w:t xml:space="preserve">- </w:t>
      </w:r>
      <w:r w:rsidRPr="00D7519A">
        <w:t xml:space="preserve">Respect du consentement </w:t>
      </w:r>
      <w:r>
        <w:t>: Article L1111-4 - Code de la santé publique</w:t>
      </w:r>
    </w:p>
    <w:p w14:paraId="7241F360" w14:textId="382F5946" w:rsidR="00B343C8" w:rsidRPr="00D7519A" w:rsidRDefault="00304A2A" w:rsidP="003D7BC1">
      <w:r w:rsidRPr="00D7519A">
        <w:t xml:space="preserve">• Commission des usagers </w:t>
      </w:r>
      <w:r>
        <w:t>: Article L1112-3 – Code de la santé publique</w:t>
      </w:r>
    </w:p>
    <w:p w14:paraId="4BE7EC0C" w14:textId="77777777" w:rsidR="00B343C8" w:rsidRPr="00B343C8" w:rsidRDefault="00B343C8" w:rsidP="00B343C8">
      <w:pPr>
        <w:rPr>
          <w:rFonts w:ascii="Tahoma" w:hAnsi="Tahoma" w:cs="Tahoma"/>
          <w:color w:val="318DEA"/>
          <w:sz w:val="42"/>
          <w:szCs w:val="42"/>
        </w:rPr>
      </w:pPr>
      <w:bookmarkStart w:id="22" w:name="_GoBack"/>
      <w:bookmarkEnd w:id="22"/>
    </w:p>
    <w:sectPr w:rsidR="00B343C8" w:rsidRPr="00B343C8" w:rsidSect="00A94577">
      <w:pgSz w:w="11906" w:h="16838"/>
      <w:pgMar w:top="1291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FA8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360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EC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E6D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205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5E49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8C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BAD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4E8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96C86"/>
    <w:multiLevelType w:val="hybridMultilevel"/>
    <w:tmpl w:val="79067B68"/>
    <w:lvl w:ilvl="0" w:tplc="FFFFFFFF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D3B5C"/>
    <w:multiLevelType w:val="hybridMultilevel"/>
    <w:tmpl w:val="277AC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A17D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5466F2"/>
    <w:multiLevelType w:val="hybridMultilevel"/>
    <w:tmpl w:val="63F63AA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6793C90"/>
    <w:multiLevelType w:val="hybridMultilevel"/>
    <w:tmpl w:val="427CEFE0"/>
    <w:lvl w:ilvl="0" w:tplc="D23C07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6D79"/>
    <w:multiLevelType w:val="multilevel"/>
    <w:tmpl w:val="E4EE2F54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916EC1"/>
    <w:multiLevelType w:val="hybridMultilevel"/>
    <w:tmpl w:val="05B2CF02"/>
    <w:lvl w:ilvl="0" w:tplc="4E0A60D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48400F5B"/>
    <w:multiLevelType w:val="hybridMultilevel"/>
    <w:tmpl w:val="CC149FC2"/>
    <w:lvl w:ilvl="0" w:tplc="608C32AC">
      <w:start w:val="7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64186"/>
    <w:multiLevelType w:val="hybridMultilevel"/>
    <w:tmpl w:val="8B1071FE"/>
    <w:lvl w:ilvl="0" w:tplc="81FC384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051B4"/>
    <w:multiLevelType w:val="hybridMultilevel"/>
    <w:tmpl w:val="5416580C"/>
    <w:lvl w:ilvl="0" w:tplc="1D36EE4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F3C69"/>
    <w:multiLevelType w:val="hybridMultilevel"/>
    <w:tmpl w:val="87B47EC0"/>
    <w:lvl w:ilvl="0" w:tplc="D23C07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750C3"/>
    <w:multiLevelType w:val="hybridMultilevel"/>
    <w:tmpl w:val="F8E4C8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1DCA"/>
    <w:multiLevelType w:val="hybridMultilevel"/>
    <w:tmpl w:val="052E1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D2B17"/>
    <w:multiLevelType w:val="hybridMultilevel"/>
    <w:tmpl w:val="75F0EE6E"/>
    <w:lvl w:ilvl="0" w:tplc="D23C07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72ECB"/>
    <w:multiLevelType w:val="hybridMultilevel"/>
    <w:tmpl w:val="8580F6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72199"/>
    <w:multiLevelType w:val="hybridMultilevel"/>
    <w:tmpl w:val="22BE5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5"/>
  </w:num>
  <w:num w:numId="18">
    <w:abstractNumId w:val="11"/>
  </w:num>
  <w:num w:numId="19">
    <w:abstractNumId w:val="17"/>
  </w:num>
  <w:num w:numId="20">
    <w:abstractNumId w:val="17"/>
  </w:num>
  <w:num w:numId="21">
    <w:abstractNumId w:val="20"/>
  </w:num>
  <w:num w:numId="22">
    <w:abstractNumId w:val="19"/>
  </w:num>
  <w:num w:numId="23">
    <w:abstractNumId w:val="14"/>
  </w:num>
  <w:num w:numId="24">
    <w:abstractNumId w:val="23"/>
  </w:num>
  <w:num w:numId="25">
    <w:abstractNumId w:val="12"/>
  </w:num>
  <w:num w:numId="26">
    <w:abstractNumId w:val="10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1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4E"/>
    <w:rsid w:val="00053B72"/>
    <w:rsid w:val="00104715"/>
    <w:rsid w:val="00122D17"/>
    <w:rsid w:val="00190D1F"/>
    <w:rsid w:val="001B2B1A"/>
    <w:rsid w:val="00231A0E"/>
    <w:rsid w:val="00304A2A"/>
    <w:rsid w:val="00366E21"/>
    <w:rsid w:val="003928BD"/>
    <w:rsid w:val="003D7BC1"/>
    <w:rsid w:val="00466D72"/>
    <w:rsid w:val="004C3B4E"/>
    <w:rsid w:val="004E5D0C"/>
    <w:rsid w:val="00507353"/>
    <w:rsid w:val="005240A9"/>
    <w:rsid w:val="005363C4"/>
    <w:rsid w:val="00550B58"/>
    <w:rsid w:val="005B1408"/>
    <w:rsid w:val="00660BB1"/>
    <w:rsid w:val="00706069"/>
    <w:rsid w:val="007170F0"/>
    <w:rsid w:val="00795142"/>
    <w:rsid w:val="007F4377"/>
    <w:rsid w:val="009256AD"/>
    <w:rsid w:val="00995715"/>
    <w:rsid w:val="00A657EE"/>
    <w:rsid w:val="00A8323E"/>
    <w:rsid w:val="00A94577"/>
    <w:rsid w:val="00AA78DD"/>
    <w:rsid w:val="00AC2CBE"/>
    <w:rsid w:val="00B343C8"/>
    <w:rsid w:val="00B34938"/>
    <w:rsid w:val="00BF4EEE"/>
    <w:rsid w:val="00D7519A"/>
    <w:rsid w:val="00D93059"/>
    <w:rsid w:val="00F157AF"/>
    <w:rsid w:val="00F80942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A3F"/>
  <w15:chartTrackingRefBased/>
  <w15:docId w15:val="{052AAFF5-4AE1-4D40-8418-741C3E2F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0F0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57EE"/>
    <w:pPr>
      <w:keepNext/>
      <w:keepLines/>
      <w:numPr>
        <w:numId w:val="19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6069"/>
    <w:pPr>
      <w:keepNext/>
      <w:keepLines/>
      <w:numPr>
        <w:numId w:val="27"/>
      </w:numPr>
      <w:spacing w:before="40"/>
      <w:outlineLvl w:val="1"/>
    </w:pPr>
    <w:rPr>
      <w:rFonts w:eastAsiaTheme="majorEastAsia" w:cstheme="majorBidi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B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57EE"/>
    <w:rPr>
      <w:rFonts w:eastAsiaTheme="majorEastAsi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06069"/>
    <w:rPr>
      <w:rFonts w:eastAsiaTheme="majorEastAsia" w:cstheme="majorBidi"/>
      <w:sz w:val="24"/>
      <w:szCs w:val="26"/>
      <w:u w:val="single"/>
    </w:rPr>
  </w:style>
  <w:style w:type="character" w:styleId="Lienhypertexte">
    <w:name w:val="Hyperlink"/>
    <w:basedOn w:val="Policepardfaut"/>
    <w:uiPriority w:val="99"/>
    <w:unhideWhenUsed/>
    <w:rsid w:val="005363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3C4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5715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9571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9571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presentantsdesusagers@15-20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2C77-1625-8646-AECC-727E64EF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2495</Words>
  <Characters>12702</Characters>
  <Application>Microsoft Office Word</Application>
  <DocSecurity>0</DocSecurity>
  <Lines>1814</Lines>
  <Paragraphs>690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Cécilia Coen</dc:creator>
  <cp:keywords/>
  <dc:description/>
  <cp:lastModifiedBy>Microsoft Office User</cp:lastModifiedBy>
  <cp:revision>5</cp:revision>
  <cp:lastPrinted>2022-10-04T15:16:00Z</cp:lastPrinted>
  <dcterms:created xsi:type="dcterms:W3CDTF">2022-10-04T15:15:00Z</dcterms:created>
  <dcterms:modified xsi:type="dcterms:W3CDTF">2022-10-08T15:41:00Z</dcterms:modified>
</cp:coreProperties>
</file>